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Sinus et cosinus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Les fonctions sinus et cosinus décrivent tout ce qui se répète :</w:t>
      </w:r>
    </w:p>
    <w:p>
      <w:pPr>
        <w:numPr>
          <w:ilvl w:val="0"/>
          <w:numId w:val="1001"/>
        </w:numPr>
        <w:pStyle w:val="Compact"/>
      </w:pPr>
      <w:r>
        <w:t xml:space="preserve">la position d'une nacelle sur une grande roue ;</w:t>
      </w:r>
    </w:p>
    <w:p>
      <w:pPr>
        <w:numPr>
          <w:ilvl w:val="0"/>
          <w:numId w:val="1001"/>
        </w:numPr>
        <w:pStyle w:val="Compact"/>
      </w:pPr>
      <w:r>
        <w:t xml:space="preserve">les marées ;</w:t>
      </w:r>
    </w:p>
    <w:p>
      <w:pPr>
        <w:numPr>
          <w:ilvl w:val="0"/>
          <w:numId w:val="1001"/>
        </w:numPr>
        <w:pStyle w:val="Compact"/>
      </w:pPr>
      <w:r>
        <w:t xml:space="preserve">les ondes sonores ;</w:t>
      </w:r>
    </w:p>
    <w:p>
      <w:pPr>
        <w:numPr>
          <w:ilvl w:val="0"/>
          <w:numId w:val="1001"/>
        </w:numPr>
        <w:pStyle w:val="Compact"/>
      </w:pPr>
      <w:r>
        <w:t xml:space="preserve">le courant électrique.</w:t>
      </w:r>
    </w:p>
    <w:p>
      <w:pPr>
        <w:pStyle w:val="FirstParagraph"/>
      </w:pPr>
      <w:r>
        <w:t xml:space="preserve">Elles sont</w:t>
      </w:r>
      <w:r>
        <w:t xml:space="preserve"> </w:t>
      </w:r>
      <w:r>
        <w:rPr>
          <w:bCs/>
          <w:b/>
        </w:rPr>
        <w:t xml:space="preserve">périodiques</w:t>
      </w:r>
      <w:r>
        <w:t xml:space="preserve"> </w:t>
      </w:r>
      <w:r>
        <w:t xml:space="preserve">: elles retrouvent les mêmes valeurs à intervalles réguliers. Au bac, elles servent pour des études de fonctions, des équations, des limites et des encadrements.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remarquables</w:t>
      </w:r>
      <w:r>
        <w:t xml:space="preserve"> </w:t>
      </w:r>
      <w:r>
        <w:t xml:space="preserve">(partie 2) et les</w:t>
      </w:r>
      <w:r>
        <w:t xml:space="preserve"> </w:t>
      </w:r>
      <w:r>
        <w:rPr>
          <w:bCs/>
          <w:b/>
        </w:rPr>
        <w:t xml:space="preserve">formules</w:t>
      </w:r>
      <w:r>
        <w:t xml:space="preserve"> </w:t>
      </w:r>
      <w:r>
        <w:t xml:space="preserve">(partie 3) sont à connaître par cœur.</w:t>
      </w:r>
    </w:p>
    <w:p>
      <w:pPr>
        <w:numPr>
          <w:ilvl w:val="0"/>
          <w:numId w:val="1002"/>
        </w:numPr>
        <w:pStyle w:val="Compact"/>
      </w:pPr>
      <w:r>
        <w:t xml:space="preserve">Pour toute équation trigonométrique, la solution générale a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: l'oublier, c'est perdre presque tous les points.</w:t>
      </w:r>
    </w:p>
    <w:bookmarkStart w:id="20" w:name="radians-et-cercle-trigonométrique"/>
    <w:p>
      <w:pPr>
        <w:pStyle w:val="Heading3"/>
      </w:pPr>
      <w:r>
        <w:t xml:space="preserve">1. Radians et cercle trigonométrique</w:t>
      </w:r>
    </w:p>
    <w:p>
      <w:pPr>
        <w:pStyle w:val="FirstParagraph"/>
      </w:pPr>
      <w:r>
        <w:t xml:space="preserve">On mesure les angles en</w:t>
      </w:r>
      <w:r>
        <w:t xml:space="preserve"> </w:t>
      </w:r>
      <w:r>
        <w:rPr>
          <w:bCs/>
          <w:b/>
        </w:rPr>
        <w:t xml:space="preserve">radians</w:t>
      </w:r>
      <w:r>
        <w:t xml:space="preserve"> </w:t>
      </w:r>
      <w:r>
        <w:t xml:space="preserve">: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radians correspondent à</w:t>
      </w:r>
      <w:r>
        <w:t xml:space="preserve"> </w:t>
      </w:r>
      <m:oMath>
        <m:sSup>
          <m:e>
            <m:r>
              <m:t>180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Pour convertir :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</m:oMath>
      <w:r>
        <w:t xml:space="preserve"> </w:t>
      </w:r>
      <w:r>
        <w:t xml:space="preserve">radians.</w:t>
      </w:r>
    </w:p>
    <w:p>
      <w:pPr>
        <w:pStyle w:val="BodyText"/>
      </w:pPr>
      <w:r>
        <w:t xml:space="preserve">Sur le cercle trigonométrique (rayon</w:t>
      </w:r>
      <w:r>
        <w:t xml:space="preserve"> </w:t>
      </w:r>
      <m:oMath>
        <m:r>
          <m:t>1</m:t>
        </m:r>
      </m:oMath>
      <w:r>
        <w:t xml:space="preserve">), le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associé au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Relation fondamentale 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r>
            <m:t>x</m:t>
          </m:r>
          <m:r>
            <m:rPr>
              <m:sty m:val="p"/>
            </m:rPr>
            <m:t>+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rPr>
          <w:bCs/>
          <w:b/>
        </w:rPr>
        <w:t xml:space="preserve">Encadrement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≤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≤</m:t>
          </m:r>
          <m:r>
            <m:t>1</m:t>
          </m:r>
          <m:r>
            <m:t> </m:t>
          </m:r>
          <m:r>
            <m:rPr>
              <m:nor/>
              <m:sty m:val="p"/>
            </m:rPr>
            <m:t>et</m:t>
          </m:r>
          <m:r>
            <m:t> 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≤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≤</m:t>
          </m:r>
          <m:r>
            <m:t>1</m:t>
          </m:r>
        </m:oMath>
      </m:oMathPara>
    </w:p>
    <w:bookmarkEnd w:id="20"/>
    <w:bookmarkStart w:id="21" w:name="les-valeurs-remarquables"/>
    <w:p>
      <w:pPr>
        <w:pStyle w:val="Heading3"/>
      </w:pPr>
      <w:r>
        <w:t xml:space="preserve">2. Les valeurs remarquables</w:t>
      </w:r>
    </w:p>
    <w:p>
      <w:pPr>
        <w:numPr>
          <w:ilvl w:val="0"/>
          <w:numId w:val="1003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π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 mnémotechnique :</w:t>
      </w:r>
      <w:r>
        <w:t xml:space="preserve"> </w:t>
      </w:r>
      <w:r>
        <w:t xml:space="preserve">pour le sinus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, on retient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0</m:t>
                  </m:r>
                </m:e>
              </m:rad>
            </m:num>
            <m:den>
              <m:r>
                <m:t>2</m:t>
              </m:r>
            </m:den>
          </m:f>
          <m:r>
            <m:t> </m:t>
          </m:r>
          <m:r>
            <m:rPr>
              <m:sty m:val="p"/>
            </m:rPr>
            <m:t>,</m:t>
          </m:r>
          <m:r>
            <m:t> 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1</m:t>
                  </m:r>
                </m:e>
              </m:rad>
            </m:num>
            <m:den>
              <m:r>
                <m:t>2</m:t>
              </m:r>
            </m:den>
          </m:f>
          <m:r>
            <m:t> </m:t>
          </m:r>
          <m:r>
            <m:rPr>
              <m:sty m:val="p"/>
            </m:rPr>
            <m:t>,</m:t>
          </m:r>
          <m:r>
            <m:t> 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>
                <m:t>2</m:t>
              </m:r>
            </m:den>
          </m:f>
          <m:r>
            <m:t> </m:t>
          </m:r>
          <m:r>
            <m:rPr>
              <m:sty m:val="p"/>
            </m:rPr>
            <m:t>,</m:t>
          </m:r>
          <m:r>
            <m:t> 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2</m:t>
              </m:r>
            </m:den>
          </m:f>
          <m:r>
            <m:t> </m:t>
          </m:r>
          <m:r>
            <m:rPr>
              <m:sty m:val="p"/>
            </m:rPr>
            <m:t>,</m:t>
          </m:r>
          <m:r>
            <m:t> 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4</m:t>
                  </m:r>
                </m:e>
              </m:rad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c'est-à-dire :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. Le cosinus lit la même liste à l'envers.</w:t>
      </w:r>
    </w:p>
    <w:bookmarkEnd w:id="21"/>
    <w:bookmarkStart w:id="22" w:name="les-formules-à-connaître"/>
    <w:p>
      <w:pPr>
        <w:pStyle w:val="Heading3"/>
      </w:pPr>
      <w:r>
        <w:t xml:space="preserve">3. Les formules à connaître</w:t>
      </w:r>
    </w:p>
    <w:p>
      <w:pPr>
        <w:pStyle w:val="FirstParagraph"/>
      </w:pPr>
      <w:r>
        <w:rPr>
          <w:bCs/>
          <w:b/>
        </w:rPr>
        <w:t xml:space="preserve">Parité et périodicité :</w:t>
      </w:r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4"/>
        </w:numPr>
        <w:pStyle w:val="Compac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</w:p>
    <w:p>
      <w:pPr>
        <w:pStyle w:val="FirstParagraph"/>
      </w:pPr>
      <w:r>
        <w:rPr>
          <w:bCs/>
          <w:b/>
        </w:rPr>
        <w:t xml:space="preserve">Angles associés :</w:t>
      </w:r>
    </w:p>
    <w:p>
      <w:pPr>
        <w:numPr>
          <w:ilvl w:val="0"/>
          <w:numId w:val="100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0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5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pStyle w:val="FirstParagraph"/>
      </w:pPr>
      <w:r>
        <w:rPr>
          <w:bCs/>
          <w:b/>
        </w:rPr>
        <w:t xml:space="preserve">Addition :</w:t>
      </w:r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a</m:t>
        </m:r>
        <m:r>
          <m:rPr>
            <m:sty m:val="p"/>
          </m:rPr>
          <m:t>cos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a</m:t>
        </m:r>
        <m:r>
          <m:rPr>
            <m:sty m:val="p"/>
          </m:rPr>
          <m:t>sin</m:t>
        </m:r>
        <m:r>
          <m:t>b</m:t>
        </m:r>
      </m:oMath>
    </w:p>
    <w:p>
      <w:pPr>
        <w:numPr>
          <w:ilvl w:val="0"/>
          <w:numId w:val="1006"/>
        </w:numPr>
        <w:pStyle w:val="Compact"/>
      </w:pP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a</m:t>
        </m:r>
        <m:r>
          <m:rPr>
            <m:sty m:val="p"/>
          </m:rPr>
          <m:t>cos</m:t>
        </m:r>
        <m:r>
          <m:t>b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a</m:t>
        </m:r>
        <m:r>
          <m:rPr>
            <m:sty m:val="p"/>
          </m:rPr>
          <m:t>sin</m:t>
        </m:r>
        <m:r>
          <m:t>b</m:t>
        </m:r>
      </m:oMath>
    </w:p>
    <w:p>
      <w:pPr>
        <w:pStyle w:val="FirstParagraph"/>
      </w:pPr>
      <w:r>
        <w:t xml:space="preserve">Et les mêmes avec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 en changeant les signes qui s'imposent.</w:t>
      </w:r>
    </w:p>
    <w:p>
      <w:pPr>
        <w:pStyle w:val="BodyText"/>
      </w:pPr>
      <w:r>
        <w:rPr>
          <w:bCs/>
          <w:b/>
        </w:rPr>
        <w:t xml:space="preserve">Duplication :</w:t>
      </w:r>
    </w:p>
    <w:p>
      <w:pPr>
        <w:numPr>
          <w:ilvl w:val="0"/>
          <w:numId w:val="1007"/>
        </w:numPr>
        <w:pStyle w:val="Compact"/>
      </w:pPr>
      <m:oMath>
        <m:r>
          <m:rPr>
            <m:sty m:val="p"/>
          </m:rPr>
          <m:t>sin</m:t>
        </m:r>
        <m:r>
          <m:t>2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7"/>
        </w:numPr>
        <w:pStyle w:val="Compact"/>
      </w:pPr>
      <m:oMath>
        <m:r>
          <m:rPr>
            <m:sty m:val="p"/>
          </m:rPr>
          <m:t>cos</m:t>
        </m:r>
        <m:r>
          <m:t>2</m:t>
        </m:r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</w:p>
    <w:p>
      <w:pPr>
        <w:pStyle w:val="FirstParagraph"/>
      </w:pPr>
      <w:r>
        <w:rPr>
          <w:bCs/>
          <w:b/>
        </w:rPr>
        <w:t xml:space="preserve">Linéarisation :</w:t>
      </w:r>
    </w:p>
    <w:p>
      <w:pPr>
        <w:numPr>
          <w:ilvl w:val="0"/>
          <w:numId w:val="1008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8"/>
        </w:numPr>
        <w:pStyle w:val="Compact"/>
      </w:pP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≠</m:t>
        </m:r>
        <m:r>
          <m:rPr>
            <m:sty m:val="p"/>
          </m:rPr>
          <m:t>cos</m:t>
        </m:r>
        <m:r>
          <m:t>a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b</m:t>
        </m:r>
      </m:oMath>
      <w:r>
        <w:t xml:space="preserve"> </w:t>
      </w:r>
      <w:r>
        <w:t xml:space="preserve">: il n'y a jamais de formule aussi simple.</w:t>
      </w:r>
    </w:p>
    <w:p>
      <w:pPr>
        <w:numPr>
          <w:ilvl w:val="0"/>
          <w:numId w:val="1009"/>
        </w:numPr>
        <w:pStyle w:val="Compact"/>
      </w:pPr>
      <w:r>
        <w:t xml:space="preserve">Confondre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 l'un change de signe, pas l'autre.</w:t>
      </w:r>
    </w:p>
    <w:p>
      <w:pPr>
        <w:numPr>
          <w:ilvl w:val="0"/>
          <w:numId w:val="1009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signifie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cos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, et non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FirstParagraph"/>
      </w:pPr>
      <w:r>
        <w:t xml:space="preserve">Les formules d'addition sont comme les mots de passe : on ne les invente pas, on les apprend.</w:t>
      </w:r>
    </w:p>
    <w:bookmarkEnd w:id="22"/>
    <w:bookmarkStart w:id="26" w:name="les-fonctions-cosinus-et-sinus"/>
    <w:p>
      <w:pPr>
        <w:pStyle w:val="Heading3"/>
      </w:pPr>
      <w:r>
        <w:t xml:space="preserve">4. Les fonctions cosinus et sinus</w:t>
      </w:r>
    </w:p>
    <w:p>
      <w:pPr>
        <w:pStyle w:val="FirstParagraph"/>
      </w:pP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sont définies et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r>
          <m:t>2</m:t>
        </m:r>
        <m:r>
          <m:t>π</m:t>
        </m:r>
      </m:oMath>
      <w:r>
        <w:rPr>
          <w:bCs/>
          <w:b/>
        </w:rPr>
        <w:t xml:space="preserve">-périodiques</w:t>
      </w:r>
      <w:r>
        <w:t xml:space="preserve">.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paire</w:t>
      </w:r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impaire</w:t>
      </w:r>
      <w:r>
        <w:t xml:space="preserve">.</w:t>
      </w:r>
    </w:p>
    <w:p>
      <w:pPr>
        <w:pStyle w:val="CaptionedFigure"/>
      </w:pPr>
      <w:r>
        <w:drawing>
          <wp:inline>
            <wp:extent cx="4572000" cy="2219325"/>
            <wp:effectExtent b="0" l="0" r="0" t="0"/>
            <wp:docPr descr="Les courbes de cos et de sin : périodiques de période 2π, bornées par −1 et 1" title="" id="24" name="Picture"/>
            <a:graphic>
              <a:graphicData uri="http://schemas.openxmlformats.org/drawingml/2006/picture">
                <pic:pic>
                  <pic:nvPicPr>
                    <pic:cNvPr descr="figs/fig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Les courbes de cos et de sin : périodiques de période 2π, bornées par −1 et 1</w:t>
      </w:r>
    </w:p>
    <w:p>
      <w:pPr>
        <w:pStyle w:val="BodyText"/>
      </w:pPr>
      <w:r>
        <w:rPr>
          <w:bCs/>
          <w:b/>
        </w:rPr>
        <w:t xml:space="preserve">Dérivées :</w:t>
      </w:r>
    </w:p>
    <w:p>
      <w:pPr>
        <w:numPr>
          <w:ilvl w:val="0"/>
          <w:numId w:val="1010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</m:oMath>
    </w:p>
    <w:p>
      <w:pPr>
        <w:numPr>
          <w:ilvl w:val="0"/>
          <w:numId w:val="1010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x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</w:p>
    <w:p>
      <w:pPr>
        <w:pStyle w:val="FirstParagraph"/>
      </w:pPr>
      <w:r>
        <w:t xml:space="preserve">Pour une composée :</w:t>
      </w:r>
    </w:p>
    <w:p>
      <w:pPr>
        <w:numPr>
          <w:ilvl w:val="0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</w:p>
    <w:p>
      <w:pPr>
        <w:numPr>
          <w:ilvl w:val="0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</w:p>
    <w:p>
      <w:pPr>
        <w:pStyle w:val="FirstParagraph"/>
      </w:pPr>
      <w:r>
        <w:rPr>
          <w:bCs/>
          <w:b/>
        </w:rPr>
        <w:t xml:space="preserve">Variations :</w:t>
      </w:r>
    </w:p>
    <w:p>
      <w:pPr>
        <w:numPr>
          <w:ilvl w:val="0"/>
          <w:numId w:val="1012"/>
        </w:numPr>
        <w:pStyle w:val="Compac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décroît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2"/>
        </w:numPr>
        <w:pStyle w:val="Compac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croît de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x</m:t>
            </m:r>
          </m:e>
        </m:d>
      </m:oMath>
      <w:r>
        <w:t xml:space="preserve"> </w:t>
      </w:r>
      <w:r>
        <w:t xml:space="preserve">(</w:t>
      </w:r>
      <m:oMath>
        <m:r>
          <m:t>ω</m:t>
        </m:r>
        <m:r>
          <m:rPr>
            <m:sty m:val="p"/>
          </m:rPr>
          <m:t>&gt;</m:t>
        </m:r>
        <m:r>
          <m:t>0</m:t>
        </m:r>
      </m:oMath>
      <w:r>
        <w:t xml:space="preserve">) est périodique de période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ω</m:t>
            </m:r>
          </m:den>
        </m:f>
      </m:oMath>
      <w:r>
        <w:t xml:space="preserve">.</w:t>
      </w:r>
    </w:p>
    <w:bookmarkEnd w:id="26"/>
    <w:bookmarkStart w:id="27" w:name="limites-et-nombres-dérivés"/>
    <w:p>
      <w:pPr>
        <w:pStyle w:val="Heading3"/>
      </w:pPr>
      <w:r>
        <w:t xml:space="preserve">5. Limites et nombres dérivés</w:t>
      </w:r>
    </w:p>
    <w:p>
      <w:pPr>
        <w:pStyle w:val="FirstParagraph"/>
      </w:pPr>
      <m:oMath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n'ont</w:t>
      </w:r>
      <w:r>
        <w:t xml:space="preserve"> </w:t>
      </w:r>
      <w:r>
        <w:rPr>
          <w:bCs/>
          <w:b/>
        </w:rPr>
        <w:t xml:space="preserve">pas de limite</w:t>
      </w:r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ni 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: elles oscillent. On encadre 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, puis on utilise les gendarmes.</w:t>
      </w:r>
    </w:p>
    <w:p>
      <w:pPr>
        <w:pStyle w:val="BodyText"/>
      </w:pPr>
      <w:r>
        <w:rPr>
          <w:bCs/>
          <w:b/>
        </w:rPr>
        <w:t xml:space="preserve">Limites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numPr>
          <w:ilvl w:val="0"/>
          <w:numId w:val="1013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(nombre dérivé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</m:oMath>
      <w:r>
        <w:t xml:space="preserve">)</w:t>
      </w:r>
    </w:p>
    <w:p>
      <w:pPr>
        <w:numPr>
          <w:ilvl w:val="0"/>
          <w:numId w:val="1013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(nombre dérivé de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égal à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sin</m:t>
        </m:r>
        <m:r>
          <m:t>0</m:t>
        </m:r>
      </m:oMath>
      <w:r>
        <w:t xml:space="preserve">)</w:t>
      </w:r>
    </w:p>
    <w:p>
      <w:pPr>
        <w:pStyle w:val="FirstParagraph"/>
      </w:pPr>
      <w:r>
        <w:rPr>
          <w:bCs/>
          <w:b/>
        </w:rPr>
        <w:t xml:space="preserve">Piège :</w:t>
      </w:r>
      <w:r>
        <w:t xml:space="preserve"> </w:t>
      </w:r>
      <w:r>
        <w:t xml:space="preserve">ne jamais écrire 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 : cette limite n'existe pas.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pour une limite comme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</m:e>
            </m:d>
          </m:num>
          <m:den>
            <m:r>
              <m:t>x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, écris 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t>x</m:t>
                  </m:r>
                </m:e>
              </m:d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t>x</m:t>
                  </m:r>
                </m:e>
              </m:d>
            </m:num>
            <m:den>
              <m:r>
                <m:t>3</m:t>
              </m:r>
              <m:r>
                <m:t>x</m:t>
              </m:r>
            </m:den>
          </m:f>
        </m:oMath>
      </m:oMathPara>
    </w:p>
    <w:p>
      <w:pPr>
        <w:pStyle w:val="FirstParagraph"/>
      </w:pPr>
      <w:r>
        <w:t xml:space="preserve">et utilise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.</w:t>
      </w:r>
    </w:p>
    <w:bookmarkEnd w:id="27"/>
    <w:bookmarkStart w:id="28" w:name="réduire-lintervalle-détude"/>
    <w:p>
      <w:pPr>
        <w:pStyle w:val="Heading3"/>
      </w:pPr>
      <w:r>
        <w:t xml:space="preserve">6. Réduire l'intervalle d'étude</w:t>
      </w:r>
    </w:p>
    <w:p>
      <w:pPr>
        <w:numPr>
          <w:ilvl w:val="0"/>
          <w:numId w:val="1014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T</m:t>
        </m:r>
      </m:oMath>
      <w:r>
        <w:rPr>
          <w:bCs/>
          <w:b/>
        </w:rPr>
        <w:t xml:space="preserve">-périodique</w:t>
      </w:r>
      <w:r>
        <w:t xml:space="preserve">, il suffit d'étudier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 un intervalle de longueur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(par exemple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</m:e>
        </m:d>
      </m:oMath>
      <w:r>
        <w:t xml:space="preserve"> </w:t>
      </w:r>
      <w:r>
        <w:t xml:space="preserve">ou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T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T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). On complète par translations.</w:t>
      </w:r>
    </w:p>
    <w:p>
      <w:pPr>
        <w:numPr>
          <w:ilvl w:val="0"/>
          <w:numId w:val="1014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paire</w:t>
      </w:r>
      <w:r>
        <w:t xml:space="preserve">, on étudie sur la moitié positive. La courbe est symétrique par rapport à l'axe des ordonnées.</w:t>
      </w:r>
    </w:p>
    <w:p>
      <w:pPr>
        <w:numPr>
          <w:ilvl w:val="0"/>
          <w:numId w:val="1014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impaire</w:t>
      </w:r>
      <w:r>
        <w:t xml:space="preserve">, la courbe est symétrique par rapport à l'origine.</w:t>
      </w:r>
    </w:p>
    <w:p>
      <w:pPr>
        <w:numPr>
          <w:ilvl w:val="0"/>
          <w:numId w:val="1014"/>
        </w:numPr>
        <w:pStyle w:val="Compact"/>
      </w:pPr>
      <w:r>
        <w:t xml:space="preserve">Pour une étude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on combine : périodicité de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et imparité, par exemple, ramènent à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</w:t>
      </w:r>
    </w:p>
    <w:bookmarkEnd w:id="28"/>
    <w:bookmarkStart w:id="29" w:name="les-équations-trigonométriques"/>
    <w:p>
      <w:pPr>
        <w:pStyle w:val="Heading3"/>
      </w:pPr>
      <w:r>
        <w:t xml:space="preserve">7. Les équations trigonométriques</w:t>
      </w:r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15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a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) ;</w:t>
      </w:r>
    </w:p>
    <w:p>
      <w:pPr>
        <w:numPr>
          <w:ilvl w:val="0"/>
          <w:numId w:val="1015"/>
        </w:numPr>
        <w:pStyle w:val="Compac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a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(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Méthode :</w:t>
      </w:r>
    </w:p>
    <w:p>
      <w:pPr>
        <w:numPr>
          <w:ilvl w:val="0"/>
          <w:numId w:val="1016"/>
        </w:numPr>
        <w:pStyle w:val="Compact"/>
      </w:pPr>
      <w:r>
        <w:t xml:space="preserve">Ramène l'équation à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a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a</m:t>
        </m:r>
      </m:oMath>
      <w:r>
        <w:t xml:space="preserve">, en reconnaissant une valeur remarquable.</w:t>
      </w:r>
    </w:p>
    <w:p>
      <w:pPr>
        <w:numPr>
          <w:ilvl w:val="0"/>
          <w:numId w:val="1016"/>
        </w:numPr>
        <w:pStyle w:val="Compact"/>
      </w:pPr>
      <w:r>
        <w:t xml:space="preserve">Écris la solution générale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Sélectionne les solutions de l'intervalle demandé en donnant des valeurs à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numPr>
          <w:ilvl w:val="0"/>
          <w:numId w:val="1016"/>
        </w:numPr>
        <w:pStyle w:val="Compact"/>
      </w:pPr>
      <w:r>
        <w:t xml:space="preserve">Pour une équation du second degré en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(ou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),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Exemple.</w:t>
      </w:r>
      <w:r>
        <w:t xml:space="preserve"> </w:t>
      </w:r>
      <w:r>
        <w:t xml:space="preserve">Résoudre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7"/>
        </w:numPr>
        <w:pStyle w:val="Compact"/>
      </w:pPr>
      <w:r>
        <w:t xml:space="preserve">Oublier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quand on cherche les solutions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numPr>
          <w:ilvl w:val="0"/>
          <w:numId w:val="1017"/>
        </w:numPr>
        <w:pStyle w:val="Compact"/>
      </w:pPr>
      <w:r>
        <w:t xml:space="preserve">Oublier</w:t>
      </w:r>
      <w:r>
        <w:t xml:space="preserve"> </w:t>
      </w:r>
      <w:r>
        <w:rPr>
          <w:bCs/>
          <w:b/>
        </w:rPr>
        <w:t xml:space="preserve">la deuxième famille</w:t>
      </w:r>
      <w:r>
        <w:t xml:space="preserve"> </w:t>
      </w:r>
      <w:r>
        <w:t xml:space="preserve">de solutions (</w:t>
      </w:r>
      <m:oMath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π</m:t>
        </m:r>
        <m:r>
          <m:rPr>
            <m:sty m:val="p"/>
          </m:rPr>
          <m:t>−</m:t>
        </m:r>
        <m:r>
          <m:t>a</m:t>
        </m:r>
      </m:oMath>
      <w:r>
        <w:t xml:space="preserve">).</w:t>
      </w:r>
    </w:p>
    <w:p>
      <w:pPr>
        <w:numPr>
          <w:ilvl w:val="0"/>
          <w:numId w:val="1017"/>
        </w:numPr>
        <w:pStyle w:val="Compact"/>
      </w:pPr>
      <w:r>
        <w:t xml:space="preserve">Garder une valeur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rPr>
          <w:bCs/>
          <w:b/>
        </w:rPr>
        <w:t xml:space="preserve">supérieure à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 inférieure à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elle est impossible.</w:t>
      </w:r>
    </w:p>
    <w:p>
      <w:pPr>
        <w:pStyle w:val="FirstParagraph"/>
      </w:pPr>
      <w:r>
        <w:t xml:space="preserve">Une équation trigonométrique n'a jamais une seule solution : quand tu n'en trouves qu'une, c'est qu'il en manque une.</w:t>
      </w:r>
    </w:p>
    <w:bookmarkEnd w:id="29"/>
    <w:bookmarkStart w:id="30" w:name="les-inéquations-trigonométriques"/>
    <w:p>
      <w:pPr>
        <w:pStyle w:val="Heading3"/>
      </w:pPr>
      <w:r>
        <w:t xml:space="preserve">8. Les inéquations trigonométriques</w:t>
      </w:r>
    </w:p>
    <w:p>
      <w:pPr>
        <w:pStyle w:val="FirstParagraph"/>
      </w:pPr>
      <w:r>
        <w:t xml:space="preserve">On résout d'abord l'équation associée.</w:t>
      </w:r>
    </w:p>
    <w:p>
      <w:pPr>
        <w:pStyle w:val="BodyText"/>
      </w:pPr>
      <w:r>
        <w:t xml:space="preserve">On place les solutions sur le cercle trigonométrique (ou sur la courbe).</w:t>
      </w:r>
    </w:p>
    <w:p>
      <w:pPr>
        <w:pStyle w:val="BodyText"/>
      </w:pPr>
      <w:r>
        <w:t xml:space="preserve">Puis on lit les arcs où l'inégalité est vraie.</w:t>
      </w:r>
    </w:p>
    <w:p>
      <w:pPr>
        <w:pStyle w:val="BodyText"/>
      </w:pPr>
      <w:r>
        <w:rPr>
          <w:bCs/>
          <w:b/>
        </w:rPr>
        <w:t xml:space="preserve">Exemple :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±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est supérieur à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entre les deux. Donc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bookmarkEnd w:id="30"/>
    <w:bookmarkStart w:id="31" w:name="convexité-et-inégalités"/>
    <w:p>
      <w:pPr>
        <w:pStyle w:val="Heading3"/>
      </w:pPr>
      <w:r>
        <w:t xml:space="preserve">9. Convexité et inégalités</w:t>
      </w:r>
    </w:p>
    <w:p>
      <w:pPr>
        <w:pStyle w:val="FirstParagraph"/>
      </w:pPr>
      <m:oMath>
        <m:r>
          <m:rPr>
            <m:sty m:val="p"/>
          </m:rPr>
          <m:t>cos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est concave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(</w:t>
      </w:r>
      <m:oMath>
        <m:r>
          <m:rPr>
            <m:sty m:val="p"/>
          </m:rPr>
          <m:t>sin</m:t>
        </m:r>
        <m:r>
          <m:rPr>
            <m:sty m:val="p"/>
          </m:rPr>
          <m:t>≥</m:t>
        </m:r>
        <m:r>
          <m:t>0</m:t>
        </m:r>
      </m:oMath>
      <w:r>
        <w:t xml:space="preserve">) et convexe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π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π</m:t>
            </m:r>
          </m:e>
        </m:d>
      </m:oMath>
      <w:r>
        <w:t xml:space="preserve">. Les points d'abscisse</w:t>
      </w:r>
      <w:r>
        <w:t xml:space="preserve"> </w:t>
      </w:r>
      <m:oMath>
        <m:r>
          <m:t>k</m:t>
        </m:r>
        <m:r>
          <m:t>π</m:t>
        </m:r>
      </m:oMath>
      <w:r>
        <w:t xml:space="preserve"> </w:t>
      </w:r>
      <w:r>
        <w:t xml:space="preserve">sont des points d'inflexion de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18"/>
        </w:numPr>
        <w:pStyle w:val="Compac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≤</m:t>
        </m:r>
        <m:r>
          <m:t>x</m:t>
        </m:r>
      </m:oMath>
    </w:p>
    <w:p>
      <w:pPr>
        <w:numPr>
          <w:ilvl w:val="0"/>
          <w:numId w:val="1018"/>
        </w:numPr>
        <w:pStyle w:val="Compact"/>
      </w:pP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</w:p>
    <w:p>
      <w:pPr>
        <w:numPr>
          <w:ilvl w:val="0"/>
          <w:numId w:val="1018"/>
        </w:numPr>
        <w:pStyle w:val="Compac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</m:oMath>
    </w:p>
    <w:p>
      <w:pPr>
        <w:pStyle w:val="FirstParagraph"/>
      </w:pPr>
      <w:r>
        <w:t xml:space="preserve">On les démontre par des études de fonctions successives, chaque dérivée redonnant la précédente inégalité.</w:t>
      </w:r>
    </w:p>
    <w:bookmarkEnd w:id="31"/>
    <w:bookmarkStart w:id="32" w:name="les-10-pépites-du-chapitre"/>
    <w:p>
      <w:pPr>
        <w:pStyle w:val="Heading3"/>
      </w:pPr>
      <w:r>
        <w:t xml:space="preserve">10. Les 10 pépites du chapitre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Sécurité radians :</w:t>
      </w:r>
      <w:r>
        <w:t xml:space="preserve"> </w:t>
      </w:r>
      <w:r>
        <w:t xml:space="preserve">vérifie que ta calculatrice est en radians, pas en degrés.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Cercle trigonométrique :</w:t>
      </w:r>
      <w:r>
        <w:t xml:space="preserve"> </w:t>
      </w:r>
      <w:r>
        <w:t xml:space="preserve">dessine-le pour chaque équation ou inéquation.</w:t>
      </w:r>
    </w:p>
    <w:p>
      <w:pPr>
        <w:numPr>
          <w:ilvl w:val="0"/>
          <w:numId w:val="1019"/>
        </w:numPr>
        <w:pStyle w:val="Compact"/>
      </w:pP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rPr>
          <w:bCs/>
          <w:b/>
        </w:rPr>
        <w:t xml:space="preserve">, toujours,</w:t>
      </w:r>
      <w:r>
        <w:t xml:space="preserve"> </w:t>
      </w:r>
      <w:r>
        <w:t xml:space="preserve">pour les solutions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numPr>
          <w:ilvl w:val="0"/>
          <w:numId w:val="1019"/>
        </w:numPr>
        <w:pStyle w:val="Compact"/>
      </w:pPr>
      <w:r>
        <w:t xml:space="preserve">Pour une</w:t>
      </w:r>
      <w:r>
        <w:t xml:space="preserve"> </w:t>
      </w:r>
      <w:r>
        <w:rPr>
          <w:bCs/>
          <w:b/>
        </w:rPr>
        <w:t xml:space="preserve">équation du second degré en</w:t>
      </w:r>
      <w:r>
        <w:rPr>
          <w:bCs/>
          <w:b/>
        </w:rPr>
        <w:t xml:space="preserve"> </w:t>
      </w:r>
      <m:oMath>
        <m:r>
          <m:rPr>
            <m:sty m:val="p"/>
          </m:rPr>
          <m:t>cos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rPr>
            <m:sty m:val="p"/>
          </m:rPr>
          <m:t>sin</m:t>
        </m:r>
      </m:oMath>
      <w:r>
        <w:t xml:space="preserve">,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et écarte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numPr>
          <w:ilvl w:val="0"/>
          <w:numId w:val="1019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pour passer de l'un à l'autre (avec le signe donné par l'intervalle).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Linéariser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 </w:t>
      </w:r>
      <w:r>
        <w:t xml:space="preserve">: indispensable avant de chercher une primitive.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Parité et périodicité</w:t>
      </w:r>
      <w:r>
        <w:t xml:space="preserve"> </w:t>
      </w:r>
      <w:r>
        <w:t xml:space="preserve">réduisent l'étude d'une fonction de moitié ou plus.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Gendarmes :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toute limite avec un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ou un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.</w:t>
      </w:r>
    </w:p>
    <w:p>
      <w:pPr>
        <w:numPr>
          <w:ilvl w:val="0"/>
          <w:numId w:val="1019"/>
        </w:numPr>
        <w:pStyle w:val="Compact"/>
      </w:pP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ramène toute limite à cette forme en factorisant.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avec une valeur simple :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32"/>
    <w:bookmarkStart w:id="33" w:name="ce-qui-peut-tomber-au-bac"/>
    <w:p>
      <w:pPr>
        <w:pStyle w:val="Heading3"/>
      </w:pPr>
      <w:r>
        <w:t xml:space="preserve">11. Ce qui peut tomber au bac</w:t>
      </w:r>
    </w:p>
    <w:p>
      <w:pPr>
        <w:numPr>
          <w:ilvl w:val="0"/>
          <w:numId w:val="102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valeurs, formules et équations trigonométriques</w:t>
      </w:r>
      <w:r>
        <w:t xml:space="preserve"> </w:t>
      </w:r>
      <w:r>
        <w:t xml:space="preserve">(fiche 1).</w:t>
      </w:r>
    </w:p>
    <w:p>
      <w:pPr>
        <w:numPr>
          <w:ilvl w:val="0"/>
          <w:numId w:val="102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études de fonctions trigonométriques</w:t>
      </w:r>
      <w:r>
        <w:t xml:space="preserve"> </w:t>
      </w:r>
      <w:r>
        <w:t xml:space="preserve">avec parité, périodicité et extremums (fiche 2).</w:t>
      </w:r>
    </w:p>
    <w:p>
      <w:pPr>
        <w:numPr>
          <w:ilvl w:val="0"/>
          <w:numId w:val="102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limites, encadrements et suites</w:t>
      </w:r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sin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(fiche 3).</w:t>
      </w:r>
    </w:p>
    <w:p>
      <w:pPr>
        <w:pStyle w:val="FirstParagraph"/>
      </w:pPr>
      <w:r>
        <w:t xml:space="preserve">Tu as maintenant le cours. Passe aux trois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Sinus et cosinus : le cours</dc:title>
  <dc:creator>Antoine Boutin, plusquunprof.com</dc:creator>
  <dc:language>fr</dc:language>
  <cp:keywords/>
  <dcterms:created xsi:type="dcterms:W3CDTF">2026-10-08T18:19:17Z</dcterms:created>
  <dcterms:modified xsi:type="dcterms:W3CDTF">2026-10-08T18:19:17Z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