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Guide de rédaction : sinus et cosinus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Ce guide complète le Guide de rédaction général.</w:t>
      </w:r>
    </w:p>
    <w:p>
      <w:pPr>
        <w:pStyle w:val="BodyText"/>
      </w:pPr>
      <w:r>
        <w:t xml:space="preserve">Il rassemble, pour le chapitre Sinus et cosinus,</w:t>
      </w:r>
      <w:r>
        <w:t xml:space="preserve"> </w:t>
      </w:r>
      <w:r>
        <w:rPr>
          <w:bCs/>
          <w:b/>
        </w:rPr>
        <w:t xml:space="preserve">les quatorze situations qui reviennent au bac</w:t>
      </w:r>
      <w:r>
        <w:t xml:space="preserve"> </w:t>
      </w:r>
      <w:r>
        <w:t xml:space="preserve">et, pour chacune, la rédaction modèle.</w:t>
      </w:r>
    </w:p>
    <w:p>
      <w:pPr>
        <w:pStyle w:val="BodyText"/>
      </w:pPr>
      <w:r>
        <w:t xml:space="preserve">En trigonométrie, la précision de la rédaction porte sur trois choses :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formule citée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solution générale avec</w:t>
      </w:r>
      <w:r>
        <w:rPr>
          <w:bCs/>
          <w:b/>
        </w:rP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Z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sélection des solutions dans l'intervalle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Le principe du chapitre</w:t>
      </w:r>
    </w:p>
    <w:p>
      <w:pPr>
        <w:pStyle w:val="BodyText"/>
      </w:pPr>
      <w:r>
        <w:t xml:space="preserve">Avec sinus et cosinus, un correcteur regarde surtout</w:t>
      </w:r>
      <w:r>
        <w:t xml:space="preserve"> </w:t>
      </w:r>
      <w:r>
        <w:rPr>
          <w:bCs/>
          <w:b/>
        </w:rPr>
        <w:t xml:space="preserve">cinq choses</w:t>
      </w:r>
      <w:r>
        <w:t xml:space="preserve"> 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formule ou la valeur remarquable</w:t>
      </w:r>
      <w:r>
        <w:t xml:space="preserve"> </w:t>
      </w:r>
      <w:r>
        <w:t xml:space="preserve">justifiant chaque égalité ;</w:t>
      </w:r>
    </w:p>
    <w:p>
      <w:pPr>
        <w:numPr>
          <w:ilvl w:val="0"/>
          <w:numId w:val="1002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solution générale complète</w:t>
      </w:r>
      <w:r>
        <w:t xml:space="preserve"> </w:t>
      </w:r>
      <w:r>
        <w:t xml:space="preserve">(deux familles,</w:t>
      </w:r>
      <w:r>
        <w:t xml:space="preserve"> </w:t>
      </w:r>
      <m:oMath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) ;</w:t>
      </w:r>
    </w:p>
    <w:p>
      <w:pPr>
        <w:numPr>
          <w:ilvl w:val="0"/>
          <w:numId w:val="1002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sélection explicite</w:t>
      </w:r>
      <w:r>
        <w:t xml:space="preserve"> </w:t>
      </w:r>
      <w:r>
        <w:t xml:space="preserve">des solutions de l'intervalle ;</w:t>
      </w:r>
    </w:p>
    <w:p>
      <w:pPr>
        <w:numPr>
          <w:ilvl w:val="0"/>
          <w:numId w:val="1002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justification de la parité et de la période</w:t>
      </w:r>
      <w:r>
        <w:t xml:space="preserve"> </w:t>
      </w:r>
      <w:r>
        <w:t xml:space="preserve">avant de réduire l'étude ;</w:t>
      </w:r>
    </w:p>
    <w:p>
      <w:pPr>
        <w:numPr>
          <w:ilvl w:val="0"/>
          <w:numId w:val="1002"/>
        </w:numPr>
        <w:pStyle w:val="Compact"/>
      </w:pPr>
      <w:r>
        <w:t xml:space="preserve">l'</w:t>
      </w:r>
      <w:r>
        <w:rPr>
          <w:bCs/>
          <w:b/>
        </w:rPr>
        <w:t xml:space="preserve">intervalle précisé</w:t>
      </w:r>
      <w:r>
        <w:t xml:space="preserve"> </w:t>
      </w:r>
      <w:r>
        <w:t xml:space="preserve">quand on étudie le signe de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ou de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.</w:t>
      </w:r>
    </w:p>
    <w:bookmarkStart w:id="20" w:name="X2935a90a3c8b07a98e2cb0691086f14bbd0fae6"/>
    <w:p>
      <w:pPr>
        <w:pStyle w:val="Heading3"/>
      </w:pPr>
      <w:r>
        <w:t xml:space="preserve">1. Les quatorze situations et leur rédaction modèle</w:t>
      </w:r>
    </w:p>
    <w:p>
      <w:pPr>
        <w:pStyle w:val="FirstParagraph"/>
      </w:pPr>
      <w:r>
        <w:rPr>
          <w:bCs/>
          <w:b/>
        </w:rPr>
        <w:t xml:space="preserve">Situation 1 : une valeur exacte avec les angles associés.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11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  <m:r>
              <m:rPr>
                <m:sty m:val="p"/>
              </m:rPr>
              <m:t>+</m:t>
            </m:r>
            <m:r>
              <m:t>2</m:t>
            </m:r>
            <m:r>
              <m:t>π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(périodicité, puis imparité). »</w:t>
      </w:r>
    </w:p>
    <w:p>
      <w:pPr>
        <w:pStyle w:val="BodyText"/>
      </w:pPr>
      <w:r>
        <w:t xml:space="preserve">Nomme la propriété utilisée : angles associés, périodicité, parité.</w:t>
      </w:r>
    </w:p>
    <w:p>
      <w:pPr>
        <w:pStyle w:val="BodyText"/>
      </w:pPr>
      <w:r>
        <w:rPr>
          <w:bCs/>
          <w:b/>
        </w:rPr>
        <w:t xml:space="preserve">Situation 2 :</w:t>
      </w:r>
      <w:r>
        <w:rPr>
          <w:bCs/>
          <w:b/>
        </w:rP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avec le signe.</w:t>
      </w:r>
    </w:p>
    <w:p>
      <w:pPr>
        <w:pStyle w:val="BodyText"/>
      </w:pPr>
      <w:r>
        <w:t xml:space="preserve">«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+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9</m:t>
            </m:r>
          </m:num>
          <m:den>
            <m:r>
              <m:t>25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16</m:t>
            </m:r>
          </m:num>
          <m:den>
            <m:r>
              <m:t>25</m:t>
            </m:r>
          </m:den>
        </m:f>
      </m:oMath>
      <w:r>
        <w:t xml:space="preserve">, soit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±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. 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 </w:t>
      </w:r>
      <w:r>
        <w:t xml:space="preserve">: le cosinus y est négatif. Donc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. »</w:t>
      </w:r>
    </w:p>
    <w:p>
      <w:pPr>
        <w:pStyle w:val="BodyText"/>
      </w:pPr>
      <w:r>
        <w:t xml:space="preserve">Sans l'intervalle, tu n'as pas le droit de choisir le signe.</w:t>
      </w:r>
    </w:p>
    <w:p>
      <w:pPr>
        <w:pStyle w:val="BodyText"/>
      </w:pPr>
      <w:r>
        <w:rPr>
          <w:bCs/>
          <w:b/>
        </w:rPr>
        <w:t xml:space="preserve">Situation 3 : duplication et addition.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2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f>
          <m:fPr>
            <m:type m:val="bar"/>
          </m:fPr>
          <m:num>
            <m:r>
              <m:t>π</m:t>
            </m:r>
          </m:num>
          <m:den>
            <m:r>
              <m:t>8</m:t>
            </m:r>
          </m:den>
        </m:f>
        <m:r>
          <m:rPr>
            <m:sty m:val="p"/>
          </m:rPr>
          <m:t>−</m:t>
        </m:r>
        <m:r>
          <m:t>1</m:t>
        </m:r>
      </m:oMath>
      <w:r>
        <w:t xml:space="preserve">, donc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f>
          <m:fPr>
            <m:type m:val="bar"/>
          </m:fPr>
          <m:num>
            <m:r>
              <m:t>π</m:t>
            </m:r>
          </m:num>
          <m:den>
            <m:r>
              <m:t>8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4</m:t>
            </m:r>
          </m:den>
        </m:f>
      </m:oMath>
      <w:r>
        <w:t xml:space="preserve">. Comme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8</m:t>
            </m:r>
          </m:den>
        </m:f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8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. Donc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8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  <m:r>
                  <m:rPr>
                    <m:sty m:val="p"/>
                  </m:rPr>
                  <m:t>+</m:t>
                </m:r>
                <m:rad>
                  <m:radPr>
                    <m:degHide m:val="on"/>
                  </m:radPr>
                  <m:deg/>
                  <m:e>
                    <m:r>
                      <m:t>2</m:t>
                    </m:r>
                  </m:e>
                </m:rad>
              </m:e>
            </m:rad>
          </m:num>
          <m:den>
            <m:r>
              <m:t>2</m:t>
            </m:r>
          </m:den>
        </m:f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4 : l'équation</w:t>
      </w:r>
      <w:r>
        <w:rPr>
          <w:bCs/>
          <w:b/>
        </w:rP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cos</m:t>
        </m:r>
        <m:r>
          <m:t>a</m:t>
        </m:r>
      </m:oMath>
      <w:r>
        <w:rPr>
          <w:bCs/>
          <w:b/>
        </w:rPr>
        <w:t xml:space="preserve">, sur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« Comme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l'équation s'écrit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.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, avec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Z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5 : l'équation</w:t>
      </w:r>
      <w:r>
        <w:rPr>
          <w:bCs/>
          <w:b/>
        </w:rP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sin</m:t>
        </m:r>
        <m:r>
          <m:t>a</m:t>
        </m:r>
      </m:oMath>
      <w:r>
        <w:rPr>
          <w:bCs/>
          <w:b/>
        </w:rPr>
        <w:t xml:space="preserve">, sur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« Comme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, l'équation s'écrit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.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, avec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Z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6 : sélectionner les solutions dans un intervalle</w:t>
      </w:r>
      <w:r>
        <w:t xml:space="preserve"> </w:t>
      </w:r>
      <w:r>
        <w:t xml:space="preserve">(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π</m:t>
            </m:r>
          </m:e>
        </m:d>
      </m:oMath>
      <w:r>
        <w:t xml:space="preserve">).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, tous deux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π</m:t>
            </m:r>
          </m:e>
        </m:d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8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, hors de l'intervalle.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 négatifs, hors de l'intervalle.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d>
          <m:dPr>
            <m:begChr m:val="{"/>
            <m:endChr m:val="}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2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. »</w:t>
      </w:r>
    </w:p>
    <w:p>
      <w:pPr>
        <w:pStyle w:val="BodyText"/>
      </w:pPr>
      <w:r>
        <w:t xml:space="preserve">Écris la sélection : les valeurs de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testées et pourquoi on les garde ou on les rejette.</w:t>
      </w:r>
    </w:p>
    <w:p>
      <w:pPr>
        <w:pStyle w:val="BodyText"/>
      </w:pPr>
      <w:r>
        <w:rPr>
          <w:bCs/>
          <w:b/>
        </w:rPr>
        <w:t xml:space="preserve">Situation 7 : une équation du second degré en</w:t>
      </w:r>
      <w:r>
        <w:rPr>
          <w:bCs/>
          <w:b/>
        </w:rPr>
        <w:t xml:space="preserve"> </w:t>
      </w:r>
      <m:oMath>
        <m:r>
          <m:rPr>
            <m:sty m:val="p"/>
          </m:rPr>
          <m:t>sin</m:t>
        </m:r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ou</w:t>
      </w:r>
      <w:r>
        <w:rPr>
          <w:bCs/>
          <w:b/>
        </w:rPr>
        <w:t xml:space="preserve"> </w:t>
      </w:r>
      <m:oMath>
        <m:r>
          <m:rPr>
            <m:sty m:val="p"/>
          </m:rPr>
          <m:t>cos</m:t>
        </m:r>
        <m:r>
          <m:t>x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« On 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  <w:r>
        <w:t xml:space="preserve">, avec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. L'équation</w:t>
      </w:r>
      <w:r>
        <w:t xml:space="preserve"> </w:t>
      </w:r>
      <m:oMath>
        <m:r>
          <m:t>2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devient</w:t>
      </w:r>
      <w:r>
        <w:t xml:space="preserve"> 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 Ces deux valeurs appartiennent à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Donc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… »</w:t>
      </w:r>
    </w:p>
    <w:p>
      <w:pPr>
        <w:pStyle w:val="BodyText"/>
      </w:pPr>
      <w:r>
        <w:t xml:space="preserve">Écarte explicitement les valeurs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en dehors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8 : une inéquation avec le cercle trigonométrique.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π</m:t>
        </m:r>
        <m:r>
          <m:t> </m:t>
        </m:r>
        <m:r>
          <m:rPr>
            <m:sty m:val="p"/>
          </m:rPr>
          <m:t>;</m:t>
        </m:r>
        <m:r>
          <m:t>π</m:t>
        </m:r>
        <m:r>
          <m:rPr>
            <m:sty m:val="p"/>
          </m:rPr>
          <m:t>]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±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. Sur le cercle trigonométrique, les points d'abscisse supérieure ou égale à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forment l'arc entre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. Donc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9 : parité et périodicité.</w:t>
      </w:r>
    </w:p>
    <w:p>
      <w:pPr>
        <w:pStyle w:val="BodyText"/>
      </w:pPr>
      <w:r>
        <w:t xml:space="preserve">« 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</m:num>
          <m:den>
            <m:r>
              <m:t>2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impaire.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  <m:r>
              <m:t>π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2</m:t>
        </m:r>
        <m:r>
          <m:t>π</m:t>
        </m:r>
      </m:oMath>
      <w:r>
        <w:t xml:space="preserve">-périodique.</w:t>
      </w:r>
    </w:p>
    <w:p>
      <w:pPr>
        <w:pStyle w:val="BodyText"/>
      </w:pPr>
      <w:r>
        <w:t xml:space="preserve">On étudie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, puis on complète par symétrie par rapport à l'origine et par translations de</w:t>
      </w:r>
      <w:r>
        <w:t xml:space="preserve"> </w:t>
      </w:r>
      <m:oMath>
        <m:r>
          <m:t>2</m:t>
        </m:r>
        <m:r>
          <m:t>π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10 : dérivée et signe sur l'intervalle d'étude.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quotient dont le dénominateur ne s'annule pas.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cos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2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cos</m:t>
                    </m:r>
                    <m:r>
                      <m:t>x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cos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2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,</w:t>
      </w:r>
      <w:r>
        <w:t xml:space="preserve"> </w:t>
      </w:r>
      <m:oMath>
        <m:r>
          <m:t>2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⇔</m:t>
        </m:r>
        <m:r>
          <m:t>x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. (Le cosinus est strictement décroissant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.) »</w:t>
      </w:r>
    </w:p>
    <w:p>
      <w:pPr>
        <w:pStyle w:val="BodyText"/>
      </w:pPr>
      <w:r>
        <w:t xml:space="preserve">« Le cosinus est décroissant</w:t>
      </w:r>
      <w:r>
        <w:t xml:space="preserve"> </w:t>
      </w: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 </w:t>
      </w:r>
      <w:r>
        <w:t xml:space="preserve">» : précise l'intervalle, sinon l'argument est faux.</w:t>
      </w:r>
    </w:p>
    <w:p>
      <w:pPr>
        <w:pStyle w:val="BodyText"/>
      </w:pPr>
      <w:r>
        <w:rPr>
          <w:bCs/>
          <w:b/>
        </w:rPr>
        <w:t xml:space="preserve">Situation 11 : le tableau et le prolongement à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Le tableau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 </w:t>
      </w:r>
      <w:r>
        <w:t xml:space="preserve">donne les variations et les valeurs. Puis :</w:t>
      </w:r>
    </w:p>
    <w:p>
      <w:pPr>
        <w:pStyle w:val="BodyText"/>
      </w:pPr>
      <w:r>
        <w:t xml:space="preserve">« Par imparité,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π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 les variations sont les mêmes que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.</w:t>
      </w:r>
    </w:p>
    <w:p>
      <w:pPr>
        <w:pStyle w:val="BodyText"/>
      </w:pPr>
      <w:r>
        <w:t xml:space="preserve">Par</w:t>
      </w:r>
      <w:r>
        <w:t xml:space="preserve"> </w:t>
      </w:r>
      <m:oMath>
        <m:r>
          <m:t>2</m:t>
        </m:r>
        <m:r>
          <m:t>π</m:t>
        </m:r>
      </m:oMath>
      <w:r>
        <w:t xml:space="preserve">-périodicité, la courbe se déduit de celle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π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 </w:t>
      </w:r>
      <w:r>
        <w:t xml:space="preserve">par translations de vecteur</w:t>
      </w:r>
      <w:r>
        <w:t xml:space="preserve"> </w:t>
      </w:r>
      <m:oMath>
        <m:r>
          <m:t>2</m:t>
        </m:r>
        <m:r>
          <m:t>k</m:t>
        </m:r>
        <m:r>
          <m:t>π</m:t>
        </m:r>
        <m:r>
          <m:t> </m:t>
        </m:r>
        <m:acc>
          <m:accPr>
            <m:chr m:val="⃗"/>
          </m:accPr>
          <m:e>
            <m:r>
              <m:rPr>
                <m:sty m:val="p"/>
              </m:rPr>
              <m:t>ı</m:t>
            </m:r>
          </m:e>
        </m:acc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d>
        <m:r>
          <m:rPr>
            <m:sty m:val="p"/>
          </m:rPr>
          <m:t>≤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</m:oMath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12 : limites avec</w:t>
      </w:r>
      <w:r>
        <w:rPr>
          <w:bCs/>
          <w:b/>
        </w:rPr>
        <w:t xml:space="preserve"> </w:t>
      </w:r>
      <m:oMath>
        <m:r>
          <m:rPr>
            <m:sty m:val="p"/>
          </m:rPr>
          <m:t>sin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rPr>
            <m:sty m:val="p"/>
          </m:rPr>
          <m:t>cos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«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. Les deux bornes tendent vers</w:t>
      </w:r>
      <w:r>
        <w:t xml:space="preserve"> </w:t>
      </w:r>
      <m:oMath>
        <m:r>
          <m:t>0</m:t>
        </m:r>
      </m:oMath>
      <w:r>
        <w:t xml:space="preserve">. D'après le théorème des gendarmes,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. »</w:t>
      </w:r>
    </w:p>
    <w:p>
      <w:pPr>
        <w:pStyle w:val="BodyText"/>
      </w:pPr>
      <w:r>
        <w:t xml:space="preserve">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 «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</m:e>
            </m:d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</m:e>
            </m:d>
          </m:num>
          <m:den>
            <m:r>
              <m:t>3</m:t>
            </m:r>
            <m:r>
              <m:t>x</m:t>
            </m:r>
          </m:den>
        </m:f>
      </m:oMath>
      <w:r>
        <w:t xml:space="preserve">. Comme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</m:e>
            </m:d>
          </m:num>
          <m:den>
            <m:r>
              <m:t>3</m:t>
            </m:r>
            <m:r>
              <m:t>x</m:t>
            </m:r>
          </m:den>
        </m:f>
        <m:r>
          <m:rPr>
            <m:sty m:val="p"/>
          </m:rPr>
          <m:t>→</m:t>
        </m:r>
        <m:r>
          <m:t>1</m:t>
        </m:r>
      </m:oMath>
      <w:r>
        <w:t xml:space="preserve">. Par produit, la limite est</w:t>
      </w:r>
      <w:r>
        <w:t xml:space="preserve"> </w:t>
      </w:r>
      <m:oMath>
        <m:r>
          <m:t>3</m:t>
        </m:r>
      </m:oMath>
      <w:r>
        <w:t xml:space="preserve">. »</w:t>
      </w:r>
    </w:p>
    <w:p>
      <w:pPr>
        <w:pStyle w:val="BodyText"/>
      </w:pPr>
      <w:r>
        <w:t xml:space="preserve">Ne jamais écrire «</w:t>
      </w:r>
      <w:r>
        <w:t xml:space="preserve"> </w:t>
      </w:r>
      <m:oMath>
        <m:r>
          <m:rPr>
            <m:sty m:val="p"/>
          </m:rPr>
          <m:t>lim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 </w:t>
      </w:r>
      <w:r>
        <w:t xml:space="preserve">» en</w:t>
      </w:r>
      <w:r>
        <w:t xml:space="preserve"> </w:t>
      </w:r>
      <m:oMath>
        <m:r>
          <m:rPr>
            <m:sty m:val="p"/>
          </m:rPr>
          <m:t>±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13 : inégalités par études successives.</w:t>
      </w:r>
    </w:p>
    <w:p>
      <w:pPr>
        <w:pStyle w:val="BodyText"/>
      </w:pPr>
      <w:r>
        <w:t xml:space="preserve">« Soit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</m:oMath>
      <w:r>
        <w:t xml:space="preserve">.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 donc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est croissante, et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x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Soit</w:t>
      </w:r>
      <w:r>
        <w:t xml:space="preserve"> </w:t>
      </w:r>
      <m:oMath>
        <m:sSub>
          <m:e>
            <m:r>
              <m:t>g</m:t>
            </m:r>
          </m:e>
          <m:sub>
            <m:r>
              <m:t>2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m:oMath>
        <m:sSub>
          <m:e>
            <m:r>
              <m:t>g</m:t>
            </m:r>
          </m:e>
          <m:sub>
            <m:r>
              <m:t>2</m:t>
            </m:r>
          </m:sub>
        </m:sSub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sSub>
          <m:e>
            <m:r>
              <m:t>g</m:t>
            </m:r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, donc</w:t>
      </w:r>
      <w:r>
        <w:t xml:space="preserve"> </w:t>
      </w:r>
      <m:oMath>
        <m:sSub>
          <m:e>
            <m:r>
              <m:t>g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est croissante, et</w:t>
      </w:r>
      <w:r>
        <w:t xml:space="preserve"> </w:t>
      </w:r>
      <m:oMath>
        <m:sSub>
          <m:e>
            <m:r>
              <m:t>g</m:t>
            </m:r>
          </m:e>
          <m:sub>
            <m:r>
              <m:t>2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14 : une suite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« On admet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converge vers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La fonction cosinus est continue.</w:t>
      </w:r>
    </w:p>
    <w:p>
      <w:pPr>
        <w:pStyle w:val="BodyText"/>
      </w:pPr>
      <w:r>
        <w:t xml:space="preserve">En passant à la limite dans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, on obtient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rPr>
            <m:sty m:val="p"/>
          </m:rPr>
          <m:t>cos</m:t>
        </m:r>
        <m:r>
          <m:rPr>
            <m:sty m:val="p"/>
          </m:rPr>
          <m:t>ℓ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est l'unique solution de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α</m:t>
        </m:r>
      </m:oMath>
      <w:r>
        <w:t xml:space="preserve">. »</w:t>
      </w:r>
    </w:p>
    <w:bookmarkEnd w:id="20"/>
    <w:bookmarkStart w:id="21" w:name="avant-après-sur-la-trigonométrie"/>
    <w:p>
      <w:pPr>
        <w:pStyle w:val="Heading3"/>
      </w:pPr>
      <w:r>
        <w:t xml:space="preserve">2. Avant / après sur la trigonométrie</w:t>
      </w:r>
    </w:p>
    <w:p>
      <w:pPr>
        <w:pStyle w:val="FirstParagraph"/>
      </w:pPr>
      <w:r>
        <w:rPr>
          <w:bCs/>
          <w:b/>
        </w:rPr>
        <w:t xml:space="preserve">a) Une équation.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. »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, avec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Z</m:t>
        </m:r>
      </m:oMath>
      <w:r>
        <w:t xml:space="preserve">. Dans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π</m:t>
        </m:r>
        <m:r>
          <m:t> </m:t>
        </m:r>
        <m:r>
          <m:rPr>
            <m:sty m:val="p"/>
          </m:rPr>
          <m:t>;</m:t>
        </m:r>
        <m:r>
          <m:t>π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d>
          <m:dPr>
            <m:begChr m:val="{"/>
            <m:endChr m:val="}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. »</w:t>
      </w:r>
    </w:p>
    <w:p>
      <w:pPr>
        <w:pStyle w:val="BodyText"/>
      </w:pPr>
      <w:r>
        <w:t xml:space="preserve">Ce qui manque à la première : la deuxième famille, le «</w:t>
      </w:r>
      <w:r>
        <w:t xml:space="preserve"> </w:t>
      </w:r>
      <m:oMath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», la sélection dans l'intervalle.</w:t>
      </w:r>
    </w:p>
    <w:p>
      <w:pPr>
        <w:pStyle w:val="BodyText"/>
      </w:pPr>
      <w:r>
        <w:rPr>
          <w:bCs/>
          <w:b/>
        </w:rPr>
        <w:t xml:space="preserve">b) Le signe d'une dérivée.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2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. »</w:t>
      </w:r>
    </w:p>
    <w:p>
      <w:pPr>
        <w:pStyle w:val="BodyText"/>
      </w:pPr>
      <w:r>
        <w:t xml:space="preserve">«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, le cosinus est strictement décroissant et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Donc</w:t>
      </w:r>
      <w:r>
        <w:t xml:space="preserve"> </w:t>
      </w:r>
      <m:oMath>
        <m:r>
          <m:t>2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⇔</m:t>
        </m:r>
        <m:r>
          <m:t>x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c) Une limite.</w:t>
      </w:r>
    </w:p>
    <w:p>
      <w:pPr>
        <w:pStyle w:val="BodyText"/>
      </w:pPr>
      <w:r>
        <w:t xml:space="preserve">«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car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est borné. »</w:t>
      </w:r>
    </w:p>
    <w:p>
      <w:pPr>
        <w:pStyle w:val="BodyText"/>
      </w:pPr>
      <w:r>
        <w:t xml:space="preserve">«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, et les deux bornes tendent vers</w:t>
      </w:r>
      <w:r>
        <w:t xml:space="preserve"> </w:t>
      </w:r>
      <m:oMath>
        <m:r>
          <m:t>0</m:t>
        </m:r>
      </m:oMath>
      <w:r>
        <w:t xml:space="preserve">. D'après le théorème des gendarmes, la limite est</w:t>
      </w:r>
      <w:r>
        <w:t xml:space="preserve"> </w:t>
      </w:r>
      <m:oMath>
        <m:r>
          <m:t>0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d) Une parité.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impaire. »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symétrique par rapport à</w:t>
      </w:r>
      <w:r>
        <w:t xml:space="preserve"> </w:t>
      </w:r>
      <m:oMath>
        <m:r>
          <m:t>0</m:t>
        </m:r>
      </m:oMath>
      <w:r>
        <w:t xml:space="preserve">, 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2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r>
              <m:t>x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impaire. »</w:t>
      </w:r>
    </w:p>
    <w:bookmarkEnd w:id="21"/>
    <w:bookmarkStart w:id="22" w:name="X7b628f7e3c65b135ea82b42a33447b000fca77c"/>
    <w:p>
      <w:pPr>
        <w:pStyle w:val="Heading3"/>
      </w:pPr>
      <w:r>
        <w:t xml:space="preserve">3. Les erreurs de rédaction propres à ce chapitre</w:t>
      </w:r>
    </w:p>
    <w:p>
      <w:pPr>
        <w:numPr>
          <w:ilvl w:val="0"/>
          <w:numId w:val="1003"/>
        </w:numPr>
        <w:pStyle w:val="Compact"/>
      </w:pPr>
      <w:r>
        <w:t xml:space="preserve">Oublier</w:t>
      </w:r>
      <w:r>
        <w:t xml:space="preserve"> </w:t>
      </w:r>
      <m:oMath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ou la</w:t>
      </w:r>
      <w:r>
        <w:t xml:space="preserve"> </w:t>
      </w:r>
      <w:r>
        <w:rPr>
          <w:bCs/>
          <w:b/>
        </w:rPr>
        <w:t xml:space="preserve">deuxième famille</w:t>
      </w:r>
      <w:r>
        <w:t xml:space="preserve"> </w:t>
      </w:r>
      <w:r>
        <w:t xml:space="preserve">de solutions.</w:t>
      </w:r>
    </w:p>
    <w:p>
      <w:pPr>
        <w:numPr>
          <w:ilvl w:val="0"/>
          <w:numId w:val="1003"/>
        </w:numPr>
        <w:pStyle w:val="Compact"/>
      </w:pPr>
      <w:r>
        <w:t xml:space="preserve">Ne pas</w:t>
      </w:r>
      <w:r>
        <w:t xml:space="preserve"> </w:t>
      </w:r>
      <w:r>
        <w:rPr>
          <w:bCs/>
          <w:b/>
        </w:rPr>
        <w:t xml:space="preserve">sélectionner</w:t>
      </w:r>
      <w:r>
        <w:t xml:space="preserve"> </w:t>
      </w:r>
      <w:r>
        <w:t xml:space="preserve">les solutions dans l'intervalle demandé.</w:t>
      </w:r>
    </w:p>
    <w:p>
      <w:pPr>
        <w:numPr>
          <w:ilvl w:val="0"/>
          <w:numId w:val="1003"/>
        </w:numPr>
        <w:pStyle w:val="Compact"/>
      </w:pPr>
      <w:r>
        <w:t xml:space="preserve">Choisir le signe de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dans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rPr>
          <w:bCs/>
          <w:b/>
        </w:rPr>
        <w:t xml:space="preserve">sans citer l'intervalle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Garder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rPr>
          <w:bCs/>
          <w:b/>
        </w:rPr>
        <w:t xml:space="preserve">en dehors de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Utiliser une monotonie de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rPr>
          <w:bCs/>
          <w:b/>
        </w:rPr>
        <w:t xml:space="preserve">sans préciser l'intervalle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Réduire l'intervalle d'étude</w:t>
      </w:r>
      <w:r>
        <w:t xml:space="preserve"> </w:t>
      </w:r>
      <w:r>
        <w:rPr>
          <w:bCs/>
          <w:b/>
        </w:rPr>
        <w:t xml:space="preserve">sans justifier</w:t>
      </w:r>
      <w:r>
        <w:t xml:space="preserve"> </w:t>
      </w:r>
      <w:r>
        <w:t xml:space="preserve">la parité ou la période.</w:t>
      </w:r>
    </w:p>
    <w:p>
      <w:pPr>
        <w:numPr>
          <w:ilvl w:val="0"/>
          <w:numId w:val="1003"/>
        </w:numPr>
        <w:pStyle w:val="Compact"/>
      </w:pPr>
      <w:r>
        <w:t xml:space="preserve">Écrire «</w:t>
      </w:r>
      <w:r>
        <w:t xml:space="preserve"> </w:t>
      </w:r>
      <m:oMath>
        <m:r>
          <m:rPr>
            <m:sty m:val="p"/>
          </m:rPr>
          <m:t>lim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» ou «</w:t>
      </w:r>
      <w:r>
        <w:t xml:space="preserve"> </w:t>
      </w:r>
      <m:oMath>
        <m:r>
          <m:rPr>
            <m:sty m:val="p"/>
          </m:rPr>
          <m:t>lim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» en</w:t>
      </w:r>
      <w:r>
        <w:t xml:space="preserve"> </w:t>
      </w:r>
      <m:oMath>
        <m:r>
          <m:rPr>
            <m:sty m:val="p"/>
          </m:rPr>
          <m:t>±</m:t>
        </m:r>
        <m:r>
          <m:rPr>
            <m:sty m:val="p"/>
          </m:rPr>
          <m:t>∞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Calculatrice en degrés.</w:t>
      </w:r>
    </w:p>
    <w:bookmarkEnd w:id="22"/>
    <w:bookmarkStart w:id="23" w:name="X9fc8352d6b78a099d110a491251a4da902ce5d1"/>
    <w:p>
      <w:pPr>
        <w:pStyle w:val="Heading3"/>
      </w:pPr>
      <w:r>
        <w:t xml:space="preserve">4. La check-list du chapitre Sinus et cosinus</w:t>
      </w:r>
    </w:p>
    <w:p>
      <w:pPr>
        <w:numPr>
          <w:ilvl w:val="0"/>
          <w:numId w:val="1004"/>
        </w:numPr>
        <w:pStyle w:val="Compact"/>
      </w:pPr>
      <w:r>
        <w:t xml:space="preserve">Chaque égalité s'appuie sur une</w:t>
      </w:r>
      <w:r>
        <w:t xml:space="preserve"> </w:t>
      </w:r>
      <w:r>
        <w:rPr>
          <w:bCs/>
          <w:b/>
        </w:rPr>
        <w:t xml:space="preserve">formule ou une valeur nommée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Ma solution générale contient</w:t>
      </w:r>
      <w:r>
        <w:t xml:space="preserve"> </w:t>
      </w:r>
      <w:r>
        <w:rPr>
          <w:bCs/>
          <w:b/>
        </w:rPr>
        <w:t xml:space="preserve">deux familles</w:t>
      </w:r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Z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J'ai écrit la</w:t>
      </w:r>
      <w:r>
        <w:t xml:space="preserve"> </w:t>
      </w:r>
      <w:r>
        <w:rPr>
          <w:bCs/>
          <w:b/>
        </w:rPr>
        <w:t xml:space="preserve">sélection</w:t>
      </w:r>
      <w:r>
        <w:t xml:space="preserve"> </w:t>
      </w:r>
      <w:r>
        <w:t xml:space="preserve">des solutions de l'intervalle.</w:t>
      </w:r>
    </w:p>
    <w:p>
      <w:pPr>
        <w:numPr>
          <w:ilvl w:val="0"/>
          <w:numId w:val="1004"/>
        </w:numPr>
        <w:pStyle w:val="Compact"/>
      </w:pPr>
      <w:r>
        <w:t xml:space="preserve">Pour une équation du second degré, j'ai posé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 écarté les valeurs hors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justifié la parité et la période</w:t>
      </w:r>
      <w:r>
        <w:t xml:space="preserve"> </w:t>
      </w:r>
      <w:r>
        <w:t xml:space="preserve">avant de réduire l'intervalle d'étude.</w:t>
      </w:r>
    </w:p>
    <w:p>
      <w:pPr>
        <w:numPr>
          <w:ilvl w:val="0"/>
          <w:numId w:val="1004"/>
        </w:numPr>
        <w:pStyle w:val="Compact"/>
      </w:pPr>
      <w:r>
        <w:t xml:space="preserve">Chaque signe de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cite son</w:t>
      </w:r>
      <w:r>
        <w:t xml:space="preserve"> </w:t>
      </w:r>
      <w:r>
        <w:rPr>
          <w:bCs/>
          <w:b/>
        </w:rPr>
        <w:t xml:space="preserve">intervalle</w:t>
      </w:r>
      <w:r>
        <w:t xml:space="preserve"> </w:t>
      </w:r>
      <w:r>
        <w:t xml:space="preserve">et la</w:t>
      </w:r>
      <w:r>
        <w:t xml:space="preserve"> </w:t>
      </w:r>
      <w:r>
        <w:rPr>
          <w:bCs/>
          <w:b/>
        </w:rPr>
        <w:t xml:space="preserve">monotonie</w:t>
      </w:r>
      <w:r>
        <w:t xml:space="preserve"> </w:t>
      </w:r>
      <w:r>
        <w:t xml:space="preserve">utilisée.</w:t>
      </w:r>
    </w:p>
    <w:p>
      <w:pPr>
        <w:numPr>
          <w:ilvl w:val="0"/>
          <w:numId w:val="1004"/>
        </w:numPr>
        <w:pStyle w:val="Compact"/>
      </w:pPr>
      <w:r>
        <w:t xml:space="preserve">Mes limites utilisent les</w:t>
      </w:r>
      <w:r>
        <w:t xml:space="preserve"> </w:t>
      </w:r>
      <w:r>
        <w:rPr>
          <w:bCs/>
          <w:b/>
        </w:rPr>
        <w:t xml:space="preserve">gendarmes</w:t>
      </w:r>
      <w:r>
        <w:t xml:space="preserve"> </w:t>
      </w:r>
      <w:r>
        <w:t xml:space="preserve">ou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1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Ma calculatrice est en</w:t>
      </w:r>
      <w:r>
        <w:t xml:space="preserve"> </w:t>
      </w:r>
      <w:r>
        <w:rPr>
          <w:bCs/>
          <w:b/>
        </w:rPr>
        <w:t xml:space="preserve">radians</w:t>
      </w:r>
      <w:r>
        <w:t xml:space="preserve">.</w:t>
      </w:r>
    </w:p>
    <w:p>
      <w:pPr>
        <w:pStyle w:val="FirstParagraph"/>
      </w:pPr>
      <w:r>
        <w:t xml:space="preserve">En trigonométrie, oublier «</w:t>
      </w:r>
      <w:r>
        <w:t xml:space="preserve"> </w:t>
      </w:r>
      <m:oMath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», c'est comme rendre un devoir sans nom : le contenu est peut-être bon, mais personne ne sait à qui l'attribuer.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de rédaction : sinus et cosinus</dc:title>
  <dc:creator>Antoine Boutin, plusquunprof.com</dc:creator>
  <dc:language>fr</dc:language>
  <cp:keywords/>
  <dcterms:created xsi:type="dcterms:W3CDTF">2026-10-08T18:19:32Z</dcterms:created>
  <dcterms:modified xsi:type="dcterms:W3CDTF">2026-10-08T18:19:32Z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