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Sommes de variables aléatoires et concentration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Le dernier chapitre du programme répond à une question très naturelle :</w:t>
      </w:r>
      <w:r>
        <w:t xml:space="preserve"> </w:t>
      </w:r>
      <w:r>
        <w:rPr>
          <w:bCs/>
          <w:b/>
        </w:rPr>
        <w:t xml:space="preserve">que se passe-t-il quand on répète une expérience un grand nombre de fois ?</w:t>
      </w:r>
      <w:r>
        <w:t xml:space="preserve"> </w:t>
      </w:r>
      <w:r>
        <w:t xml:space="preserve">La moyenne des résultats se stabilise. Ce chapitre explique pourquoi, et surtout</w:t>
      </w:r>
      <w:r>
        <w:t xml:space="preserve"> </w:t>
      </w:r>
      <w:r>
        <w:rPr>
          <w:bCs/>
          <w:b/>
        </w:rPr>
        <w:t xml:space="preserve">avec quelle précision</w:t>
      </w:r>
      <w:r>
        <w:t xml:space="preserve">.</w:t>
      </w:r>
    </w:p>
    <w:p>
      <w:pPr>
        <w:pStyle w:val="BodyText"/>
      </w:pPr>
      <w:r>
        <w:t xml:space="preserve">Trois idées, dans l'ordre :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espérance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variance</w:t>
      </w:r>
      <w:r>
        <w:t xml:space="preserve"> </w:t>
      </w:r>
      <w:r>
        <w:t xml:space="preserve">d'une somme de variables aléatoires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inégalité de Bienaymé-Tchebychev</w:t>
      </w:r>
      <w:r>
        <w:t xml:space="preserve">, qui contrôle l'écart à l'espérance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 des grands nombres</w:t>
      </w:r>
      <w:r>
        <w:t xml:space="preserve">, qui en découle.</w:t>
      </w:r>
    </w:p>
    <w:p>
      <w:pPr>
        <w:pStyle w:val="FirstParagraph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Retiens le fil rouge du chapitre :</w:t>
      </w:r>
      <w:r>
        <w:t xml:space="preserve"> </w:t>
      </w:r>
      <w:r>
        <w:rPr>
          <w:bCs/>
          <w:b/>
        </w:rPr>
        <w:t xml:space="preserve">l'espérance s'additionne toujours, la variance s'additionne seulement pour des variables indépendantes.</w:t>
      </w:r>
    </w:p>
    <w:p>
      <w:pPr>
        <w:numPr>
          <w:ilvl w:val="0"/>
          <w:numId w:val="1002"/>
        </w:numPr>
        <w:pStyle w:val="Compact"/>
      </w:pPr>
      <w:r>
        <w:t xml:space="preserve">Pour une inégalité de concentration,</w:t>
      </w:r>
      <w:r>
        <w:t xml:space="preserve"> </w:t>
      </w:r>
      <w:r>
        <w:rPr>
          <w:bCs/>
          <w:b/>
        </w:rPr>
        <w:t xml:space="preserve">écris toujours</w:t>
      </w:r>
      <w:r>
        <w:t xml:space="preserve"> </w:t>
      </w:r>
      <w:r>
        <w:t xml:space="preserve">: la variable, son espérance, sa variance, le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choisi.</w:t>
      </w:r>
    </w:p>
    <w:bookmarkStart w:id="20" w:name="espérance-variance-écart-type"/>
    <w:p>
      <w:pPr>
        <w:pStyle w:val="Heading3"/>
      </w:pPr>
      <w:r>
        <w:t xml:space="preserve">1. Espérance, variance, écart-type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aléatoire prenant les valeurs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r</m:t>
            </m:r>
          </m:sub>
        </m:sSub>
      </m:oMath>
      <w:r>
        <w:t xml:space="preserve"> </w:t>
      </w:r>
      <w:r>
        <w:t xml:space="preserve">avec les probabilités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r</m:t>
            </m:r>
          </m:sub>
        </m:sSub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Espérance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r</m:t>
            </m:r>
          </m:sup>
          <m:e>
            <m:sSub>
              <m:e>
                <m:r>
                  <m:t>p</m:t>
                </m:r>
              </m:e>
              <m:sub>
                <m:r>
                  <m:t>i</m:t>
                </m:r>
              </m:sub>
            </m:sSub>
          </m:e>
        </m:nary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(la valeur moyenne).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Variance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r</m:t>
            </m:r>
          </m:sup>
          <m:e>
            <m:sSub>
              <m:e>
                <m:r>
                  <m:t>p</m:t>
                </m:r>
              </m:e>
              <m:sub>
                <m:r>
                  <m:t>i</m:t>
                </m:r>
              </m:sub>
            </m:sSub>
          </m:e>
        </m:nary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(l'écart quadratique moyen à l'espérance).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Écart-type :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rad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Formule de König-Huygens :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t>  </m:t>
          </m:r>
          <m:r>
            <m:rPr>
              <m:nor/>
              <m:sty m:val="p"/>
            </m:rPr>
            <m:t>avec</m:t>
          </m:r>
          <m:r>
            <m:t> 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r</m:t>
              </m:r>
            </m:sup>
            <m:e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t> </m:t>
          </m:r>
          <m:sSubSup>
            <m:e>
              <m:r>
                <m:t>x</m:t>
              </m:r>
            </m:e>
            <m:sub>
              <m:r>
                <m:t>i</m:t>
              </m:r>
            </m:sub>
            <m:sup>
              <m:r>
                <m:t>2</m:t>
              </m:r>
            </m:sup>
          </m:sSubSup>
        </m:oMath>
      </m:oMathPara>
    </w:p>
    <w:p>
      <w:pPr>
        <w:pStyle w:val="FirstParagraph"/>
      </w:pPr>
      <w:r>
        <w:t xml:space="preserve">C'est souvent le calcul le plus rapide.</w:t>
      </w:r>
    </w:p>
    <w:p>
      <w:pPr>
        <w:pStyle w:val="BodyText"/>
      </w:pPr>
      <w:r>
        <w:rPr>
          <w:bCs/>
          <w:b/>
        </w:rPr>
        <w:t xml:space="preserve">Transformation affine.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réels 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r>
            <m:rPr>
              <m:sty m:val="p"/>
            </m:rPr>
            <m:t>=</m:t>
          </m:r>
          <m:r>
            <m:t>a</m:t>
          </m:r>
          <m:r>
            <m:t> 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+</m:t>
          </m:r>
          <m:r>
            <m:t>b</m:t>
          </m:r>
          <m:r>
            <m:t>  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 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  </m:t>
          </m:r>
          <m:r>
            <m:t>σ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t>a</m:t>
              </m:r>
            </m:e>
          </m:d>
          <m:r>
            <m:t> </m:t>
          </m:r>
          <m:r>
            <m:t>σ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</m:oMath>
      </m:oMathPara>
    </w:p>
    <w:p>
      <w:pPr>
        <w:pStyle w:val="FirstParagraph"/>
      </w:pPr>
      <w:r>
        <w:t xml:space="preserve">La variable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σ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den>
        </m:f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centrée réduite</w:t>
      </w:r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4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la constante</w:t>
      </w:r>
      <w:r>
        <w:t xml:space="preserve"> </w:t>
      </w:r>
      <m:oMath>
        <m:r>
          <m:t>b</m:t>
        </m:r>
      </m:oMath>
      <w:r>
        <w:t xml:space="preserve"> </w:t>
      </w:r>
      <w:r>
        <w:rPr>
          <w:bCs/>
          <w:b/>
        </w:rPr>
        <w:t xml:space="preserve">ne compte pas</w:t>
      </w:r>
      <w:r>
        <w:t xml:space="preserve">, 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au carré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t> 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une</w:t>
      </w:r>
      <w:r>
        <w:t xml:space="preserve"> </w:t>
      </w:r>
      <w:r>
        <w:rPr>
          <w:bCs/>
          <w:b/>
        </w:rPr>
        <w:t xml:space="preserve">valeur absolue</w:t>
      </w:r>
      <w:r>
        <w:t xml:space="preserve">, jamais un signe moins.</w:t>
      </w:r>
    </w:p>
    <w:p>
      <w:pPr>
        <w:numPr>
          <w:ilvl w:val="0"/>
          <w:numId w:val="1004"/>
        </w:numPr>
        <w:pStyle w:val="Compact"/>
      </w:pPr>
      <w:r>
        <w:t xml:space="preserve">Une variance est</w:t>
      </w:r>
      <w:r>
        <w:t xml:space="preserve"> </w:t>
      </w:r>
      <w:r>
        <w:rPr>
          <w:bCs/>
          <w:b/>
        </w:rPr>
        <w:t xml:space="preserve">toujours positive</w:t>
      </w:r>
      <w:r>
        <w:t xml:space="preserve"> </w:t>
      </w:r>
      <w:r>
        <w:t xml:space="preserve">: si tu trouves une variance négative, tu as fait une erreur (souvent oublier de soustraire</w:t>
      </w:r>
      <w:r>
        <w:t xml:space="preserve"> </w:t>
      </w:r>
      <m:oMath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correctement).</w:t>
      </w:r>
    </w:p>
    <w:bookmarkEnd w:id="20"/>
    <w:bookmarkStart w:id="21" w:name="somme-de-variables-aléatoires"/>
    <w:p>
      <w:pPr>
        <w:pStyle w:val="Heading3"/>
      </w:pPr>
      <w:r>
        <w:t xml:space="preserve">2. Somme de variables aléatoires</w:t>
      </w:r>
    </w:p>
    <w:p>
      <w:pPr>
        <w:pStyle w:val="FirstParagraph"/>
      </w:pPr>
      <w:r>
        <w:t xml:space="preserve">Soient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deux variables aléatoires définies sur le même univers.</w:t>
      </w:r>
    </w:p>
    <w:p>
      <w:pPr>
        <w:pStyle w:val="BodyText"/>
      </w:pPr>
      <w:r>
        <w:rPr>
          <w:bCs/>
          <w:b/>
        </w:rPr>
        <w:t xml:space="preserve">Linéarité de l'espérance.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réels 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e>
          </m:d>
          <m:r>
            <m:rPr>
              <m:sty m:val="p"/>
            </m:rPr>
            <m:t>=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+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</m:e>
          </m:d>
          <m:r>
            <m:t>  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Y</m:t>
              </m:r>
            </m:e>
          </m:d>
          <m:r>
            <m:rPr>
              <m:sty m:val="p"/>
            </m:rPr>
            <m:t>=</m:t>
          </m:r>
          <m:r>
            <m:t>a</m:t>
          </m:r>
          <m:r>
            <m:t> 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+</m:t>
          </m:r>
          <m:r>
            <m:t>b</m:t>
          </m:r>
          <m:r>
            <m:t> 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</m:e>
          </m:d>
        </m:oMath>
      </m:oMathPara>
    </w:p>
    <w:p>
      <w:pPr>
        <w:pStyle w:val="FirstParagraph"/>
      </w:pPr>
      <w:r>
        <w:t xml:space="preserve">Cela vaut</w:t>
      </w:r>
      <w:r>
        <w:t xml:space="preserve"> </w:t>
      </w:r>
      <w:r>
        <w:rPr>
          <w:bCs/>
          <w:b/>
        </w:rPr>
        <w:t xml:space="preserve">toujours</w:t>
      </w:r>
      <w:r>
        <w:t xml:space="preserve">,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soient indépendantes ou non.</w:t>
      </w:r>
    </w:p>
    <w:bookmarkEnd w:id="21"/>
    <w:bookmarkStart w:id="22" w:name="indépendance-de-variables-aléatoires"/>
    <w:p>
      <w:pPr>
        <w:pStyle w:val="Heading3"/>
      </w:pPr>
      <w:r>
        <w:t xml:space="preserve">3. Indépendance de variables aléatoires</w:t>
      </w:r>
    </w:p>
    <w:p>
      <w:pPr>
        <w:pStyle w:val="FirstParagraph"/>
      </w:pPr>
      <w:r>
        <w:t xml:space="preserve">Deux variables aléatoires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si, pour toutes valeurs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de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 </m:t>
              </m:r>
              <m:r>
                <m:rPr>
                  <m:nor/>
                  <m:sty m:val="p"/>
                </m:rPr>
                <m:t>et</m:t>
              </m:r>
              <m:r>
                <m:t> </m:t>
              </m:r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rPr>
              <m:sty m:val="p"/>
            </m:rPr>
            <m:t>×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Variance d'une somme.</w:t>
      </w:r>
      <w:r>
        <w:t xml:space="preserve"> </w:t>
      </w:r>
      <w:r>
        <w:t xml:space="preserve">Si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e>
          </m:d>
          <m:r>
            <m:rPr>
              <m:sty m:val="p"/>
            </m:rPr>
            <m:t>=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+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</m:e>
          </m:d>
          <m:r>
            <m:t>  </m:t>
          </m:r>
          <m:r>
            <m:rPr>
              <m:nor/>
              <m:sty m:val="p"/>
            </m:rPr>
            <m:t>et aussi</m:t>
          </m:r>
          <m:r>
            <m:t>  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</m:e>
          </m:d>
          <m:r>
            <m:rPr>
              <m:sty m:val="p"/>
            </m:rPr>
            <m:t>=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+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</m:e>
          </m:d>
        </m:oMath>
      </m:oMathPara>
    </w:p>
    <w:p>
      <w:pPr>
        <w:pStyle w:val="FirstParagraph"/>
      </w:pPr>
      <w:r>
        <w:t xml:space="preserve">Plus généralement, 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variables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5"/>
        </w:numPr>
        <w:pStyle w:val="Compact"/>
      </w:pPr>
      <w:r>
        <w:t xml:space="preserve">Sans indépendance,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≠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en général. Exemple 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 Bernoulli 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donnent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, de variance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: les variances</w:t>
      </w:r>
      <w:r>
        <w:t xml:space="preserve"> </w:t>
      </w:r>
      <w:r>
        <w:rPr>
          <w:bCs/>
          <w:b/>
        </w:rPr>
        <w:t xml:space="preserve">s'additionnent</w:t>
      </w:r>
      <w:r>
        <w:t xml:space="preserve"> </w:t>
      </w:r>
      <w:r>
        <w:t xml:space="preserve">aussi pour une différence.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 confonds pas</w:t>
      </w:r>
      <w:r>
        <w:t xml:space="preserve"> </w:t>
      </w:r>
      <w:r>
        <w:t xml:space="preserve">les variances (qui s'additionnent) et les écarts-types (qui ne s'additionnent pas :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+</m:t>
            </m:r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</m:e>
            </m:d>
          </m:e>
        </m:rad>
      </m:oMath>
      <w:r>
        <w:t xml:space="preserve">).</w:t>
      </w:r>
    </w:p>
    <w:p>
      <w:pPr>
        <w:pStyle w:val="FirstParagraph"/>
      </w:pPr>
      <w:r>
        <w:t xml:space="preserve">L'espérance est généreuse : elle s'additionne sans poser de questions. La variance est méfiante : elle ne s'additionne que si les variables ne se parlent pas.</w:t>
      </w:r>
    </w:p>
    <w:bookmarkEnd w:id="22"/>
    <w:bookmarkStart w:id="23" w:name="loi-de-bernoulli-et-loi-binomiale"/>
    <w:p>
      <w:pPr>
        <w:pStyle w:val="Heading3"/>
      </w:pPr>
      <w:r>
        <w:t xml:space="preserve">4. Loi de Bernoulli et loi binomiale</w:t>
      </w:r>
    </w:p>
    <w:p>
      <w:pPr>
        <w:pStyle w:val="FirstParagraph"/>
      </w:pPr>
      <w:r>
        <w:t xml:space="preserve">Une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</w:t>
      </w:r>
      <w:r>
        <w:t xml:space="preserve"> </w:t>
      </w:r>
      <w:r>
        <w:rPr>
          <w:bCs/>
          <w:b/>
        </w:rPr>
        <w:t xml:space="preserve">Bernoulli</w:t>
      </w:r>
      <w:r>
        <w:t xml:space="preserve"> </w:t>
      </w:r>
      <w:r>
        <w:t xml:space="preserve">de paramètre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prend la valeur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(avec la probabilité</w:t>
      </w:r>
      <w:r>
        <w:t xml:space="preserve"> </w:t>
      </w:r>
      <m:oMath>
        <m:r>
          <m:t>p</m:t>
        </m:r>
      </m:oMath>
      <w:r>
        <w:t xml:space="preserve">) ou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(avec la probabilité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</m:oMath>
      <w:r>
        <w:t xml:space="preserve">).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×</m:t>
          </m:r>
          <m:r>
            <m:t>p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</m:e>
          </m:d>
          <m:r>
            <m:rPr>
              <m:sty m:val="p"/>
            </m:rPr>
            <m:t>=</m:t>
          </m:r>
          <m:r>
            <m:t>p</m:t>
          </m:r>
          <m:r>
            <m:t>  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−</m:t>
          </m:r>
          <m:sSup>
            <m:e>
              <m:r>
                <m:t>p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p</m:t>
          </m:r>
          <m:r>
            <m:rPr>
              <m:sty m:val="p"/>
            </m:rPr>
            <m:t>−</m:t>
          </m:r>
          <m:sSup>
            <m:e>
              <m:r>
                <m:t>p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</m:e>
          </m:d>
        </m:oMath>
      </m:oMathPara>
    </w:p>
    <w:p>
      <w:pPr>
        <w:pStyle w:val="FirstParagraph"/>
      </w:pPr>
      <w:r>
        <w:t xml:space="preserve">Une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 </w:t>
      </w:r>
      <w:r>
        <w:t xml:space="preserve">est la</w:t>
      </w:r>
      <w:r>
        <w:t xml:space="preserve"> </w:t>
      </w:r>
      <w:r>
        <w:rPr>
          <w:bCs/>
          <w:b/>
        </w:rPr>
        <w:t xml:space="preserve">somme</w:t>
      </w:r>
      <w:r>
        <w:t xml:space="preserve"> </w:t>
      </w:r>
      <w:r>
        <w:t xml:space="preserve">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variables de Bernoulli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de paramètre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Démonstration de</w:t>
      </w:r>
      <w:r>
        <w:rPr>
          <w:bCs/>
          <w:b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Par linéarité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n</m:t>
        </m:r>
        <m:r>
          <m:t> </m:t>
        </m:r>
        <m:r>
          <m:t>p</m:t>
        </m:r>
      </m:oMath>
      <w:r>
        <w:t xml:space="preserve">.</w:t>
      </w:r>
    </w:p>
    <w:p>
      <w:pPr>
        <w:pStyle w:val="BodyText"/>
      </w:pPr>
      <w:r>
        <w:t xml:space="preserve">Par indépendance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n</m:t>
        </m:r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</w:p>
    <w:bookmarkEnd w:id="23"/>
    <w:bookmarkStart w:id="24" w:name="échantillon-somme-moyenne"/>
    <w:p>
      <w:pPr>
        <w:pStyle w:val="Heading3"/>
      </w:pPr>
      <w:r>
        <w:t xml:space="preserve">5. Échantillon, somme, moyenne</w:t>
      </w:r>
    </w:p>
    <w:p>
      <w:pPr>
        <w:pStyle w:val="FirstParagraph"/>
      </w:pPr>
      <w:r>
        <w:t xml:space="preserve">Un</w:t>
      </w:r>
      <w:r>
        <w:t xml:space="preserve"> </w:t>
      </w:r>
      <w:r>
        <w:rPr>
          <w:bCs/>
          <w:b/>
        </w:rPr>
        <w:t xml:space="preserve">échantillon de taille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 </w:t>
      </w:r>
      <w:r>
        <w:t xml:space="preserve">de la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une liste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de variables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qui suivent toutes la même loi que</w:t>
      </w:r>
      <w:r>
        <w:t xml:space="preserve"> </w:t>
      </w:r>
      <m:oMath>
        <m:r>
          <m:t>X</m:t>
        </m:r>
      </m:oMath>
      <w:r>
        <w:t xml:space="preserve">. On note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t>  </m:t>
          </m:r>
          <m:sSub>
            <m:e>
              <m:r>
                <m:t>M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n</m:t>
              </m:r>
            </m:den>
          </m:f>
        </m:oMath>
      </m:oMathPara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Somme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Moyenne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num>
                <m:den>
                  <m:r>
                    <m:t>n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Espérance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E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r>
                <m:t>n</m:t>
              </m:r>
              <m:r>
                <m:t> </m:t>
              </m:r>
              <m:r>
                <m:t>E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E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r>
                <m:t>E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Variance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r>
                <m:t>n</m:t>
              </m:r>
              <m:r>
                <m:t> </m:t>
              </m:r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V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</m:e>
                  </m:d>
                </m:num>
                <m:den>
                  <m:r>
                    <m:t>n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Écart-type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σ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r>
                <m:t>σ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σ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σ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</m:e>
                  </m: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</m:den>
              </m:f>
            </m:oMath>
          </w:p>
        </w:tc>
      </w:tr>
    </w:tbl>
    <w:p>
      <w:pPr>
        <w:pStyle w:val="BodyText"/>
      </w:pPr>
      <w:r>
        <w:t xml:space="preserve">Cela explique le principe fondamental :</w:t>
      </w:r>
      <w:r>
        <w:t xml:space="preserve"> </w:t>
      </w:r>
      <w:r>
        <w:rPr>
          <w:bCs/>
          <w:b/>
        </w:rPr>
        <w:t xml:space="preserve">la moyenne d'un échantillon est moins dispersée que chaque observation</w:t>
      </w:r>
      <w:r>
        <w:t xml:space="preserve">. Son écart-type est divisé par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bookmarkEnd w:id="24"/>
    <w:bookmarkStart w:id="25" w:name="inégalité-de-bienaymé-tchebychev"/>
    <w:p>
      <w:pPr>
        <w:pStyle w:val="Heading3"/>
      </w:pPr>
      <w:r>
        <w:t xml:space="preserve">6. Inégalité de Bienaymé-Tchebychev</w:t>
      </w:r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aléatoire d'espérance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et de variance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Pour tout réel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rPr>
                  <m:sty m:val="p"/>
                </m:rPr>
                <m:t>≥</m:t>
              </m:r>
              <m:r>
                <m:t>δ</m:t>
              </m:r>
            </m:e>
          </m:d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num>
            <m:den>
              <m:sSup>
                <m:e>
                  <m:r>
                    <m:t>δ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iCs/>
          <w:i/>
        </w:rPr>
        <w:t xml:space="preserve">Pourquoi ?</w:t>
      </w:r>
      <w:r>
        <w:t xml:space="preserve"> </w:t>
      </w:r>
      <w:r>
        <w:t xml:space="preserve">Pour tout résultat,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sSup>
          <m:e>
            <m:r>
              <m:t>δ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lorsque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≥</m:t>
        </m:r>
        <m:r>
          <m:t>δ</m:t>
        </m:r>
      </m:oMath>
      <w:r>
        <w:t xml:space="preserve">, 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sinon. En prenant l'espérance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e>
                </m:d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≥</m:t>
        </m:r>
        <m:sSup>
          <m:e>
            <m:r>
              <m:t>δ</m:t>
            </m:r>
          </m:e>
          <m:sup>
            <m:r>
              <m:t>2</m:t>
            </m:r>
          </m:sup>
        </m:sSup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Forme complémentaire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&lt;</m:t>
            </m:r>
            <m:r>
              <m:t>δ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Inégalité de concentration (pour la moyenne).</w:t>
      </w:r>
      <w:r>
        <w:t xml:space="preserve"> </w:t>
      </w:r>
      <w:r>
        <w:t xml:space="preserve">Appliquée à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(d'espérance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et de variance</w:t>
      </w:r>
      <w:r>
        <w:t xml:space="preserve"> </w:t>
      </w: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</m:den>
        </m:f>
      </m:oMath>
      <w:r>
        <w:t xml:space="preserve">) 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rPr>
                  <m:sty m:val="p"/>
                </m:rPr>
                <m:t>≥</m:t>
              </m:r>
              <m:r>
                <m:t>δ</m:t>
              </m:r>
            </m:e>
          </m:d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num>
            <m:den>
              <m:r>
                <m:t>n</m:t>
              </m:r>
              <m:r>
                <m:t> </m:t>
              </m:r>
              <m:sSup>
                <m:e>
                  <m:r>
                    <m:t>δ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bookmarkEnd w:id="25"/>
    <w:bookmarkStart w:id="26" w:name="loi-des-grands-nombres"/>
    <w:p>
      <w:pPr>
        <w:pStyle w:val="Heading3"/>
      </w:pPr>
      <w:r>
        <w:t xml:space="preserve">7. Loi des grands nombres</w:t>
      </w:r>
    </w:p>
    <w:p>
      <w:pPr>
        <w:pStyle w:val="FirstParagraph"/>
      </w:pPr>
      <w:r>
        <w:rPr>
          <w:bCs/>
          <w:b/>
        </w:rPr>
        <w:t xml:space="preserve">Loi faible des grands nombres.</w:t>
      </w:r>
      <w:r>
        <w:t xml:space="preserve"> </w:t>
      </w:r>
      <w:r>
        <w:t xml:space="preserve">Pour tout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lim>
          </m:limLow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M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rPr>
                  <m:sty m:val="p"/>
                </m:rPr>
                <m:t>≥</m:t>
              </m:r>
              <m:r>
                <m:t>δ</m:t>
              </m:r>
            </m:e>
          </m:d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Preuve : d'après l'inégalité de concentration,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; on conclut avec le théorème des gendarmes.</w:t>
      </w:r>
    </w:p>
    <w:p>
      <w:pPr>
        <w:pStyle w:val="BodyText"/>
      </w:pPr>
      <w:r>
        <w:rPr>
          <w:bCs/>
          <w:b/>
        </w:rPr>
        <w:t xml:space="preserve">Cas d'un succès de probabilité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La fréquence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r>
              <m:t>n</m:t>
            </m:r>
          </m:den>
        </m:f>
      </m:oMath>
      <w:r>
        <w:t xml:space="preserve"> </w:t>
      </w:r>
      <w:r>
        <w:t xml:space="preserve">de succès sur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épreuves (avec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) vérifie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</m:oMath>
      <w:r>
        <w:t xml:space="preserve">. Donc 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  <m:r>
                <m:rPr>
                  <m:sty m:val="p"/>
                </m:rPr>
                <m:t>≥</m:t>
              </m:r>
              <m:r>
                <m:t>δ</m:t>
              </m:r>
            </m:e>
          </m:d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</m:num>
            <m:den>
              <m:r>
                <m:t>n</m:t>
              </m:r>
              <m:r>
                <m:t> </m:t>
              </m:r>
              <m:sSup>
                <m:e>
                  <m:r>
                    <m:t>δ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  <m:r>
                <m:t>n</m:t>
              </m:r>
              <m:sSup>
                <m:e>
                  <m:r>
                    <m:t>δ</m:t>
                  </m:r>
                </m:e>
                <m:sup>
                  <m:r>
                    <m:t>2</m:t>
                  </m:r>
                </m:sup>
              </m:sSup>
            </m:den>
          </m:f>
          <m:r>
            <m:t>  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nor/>
                  <m:sty m:val="p"/>
                </m:rPr>
                <m:t>car </m:t>
              </m:r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e>
              </m:d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Dimensionner un échantillon.</w:t>
      </w:r>
      <w:r>
        <w:t xml:space="preserve"> </w:t>
      </w:r>
      <w:r>
        <w:t xml:space="preserve">Pour garantir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&lt;</m:t>
            </m:r>
            <m:r>
              <m:t>δ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, il suffit que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r>
          <m:t>α</m:t>
        </m:r>
      </m:oMath>
      <w:r>
        <w:t xml:space="preserve">, c'est-à-dire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α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50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6"/>
        </w:numPr>
        <w:pStyle w:val="Compact"/>
      </w:pPr>
      <w:r>
        <w:t xml:space="preserve">Bienaymé-Tchebychev donne une</w:t>
      </w:r>
      <w:r>
        <w:t xml:space="preserve"> </w:t>
      </w:r>
      <w:r>
        <w:rPr>
          <w:bCs/>
          <w:b/>
        </w:rPr>
        <w:t xml:space="preserve">majoration</w:t>
      </w:r>
      <w:r>
        <w:t xml:space="preserve">, souvent large : elle ne donne pas la probabilité exacte.</w:t>
      </w:r>
    </w:p>
    <w:p>
      <w:pPr>
        <w:numPr>
          <w:ilvl w:val="0"/>
          <w:numId w:val="1006"/>
        </w:numPr>
        <w:pStyle w:val="Compact"/>
      </w:pPr>
      <w:r>
        <w:t xml:space="preserve">L'inégalité est</w:t>
      </w:r>
      <w:r>
        <w:t xml:space="preserve"> </w:t>
      </w:r>
      <w:r>
        <w:rPr>
          <w:bCs/>
          <w:b/>
        </w:rPr>
        <w:t xml:space="preserve">vide de sens</w:t>
      </w:r>
      <w:r>
        <w:t xml:space="preserve"> </w:t>
      </w:r>
      <w:r>
        <w:t xml:space="preserve">quand</w:t>
      </w:r>
      <w:r>
        <w:t xml:space="preserve"> </w:t>
      </w: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(une probabilité est toujours</w:t>
      </w:r>
      <w:r>
        <w:t xml:space="preserve"> </w:t>
      </w:r>
      <m:oMath>
        <m:r>
          <m:rPr>
            <m:sty m:val="p"/>
          </m:rPr>
          <m:t>≤</m:t>
        </m:r>
        <m:r>
          <m:t>1</m:t>
        </m:r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w:r>
        <w:t xml:space="preserve">La loi des grands nombres parle d'une</w:t>
      </w:r>
      <w:r>
        <w:t xml:space="preserve"> </w:t>
      </w:r>
      <w:r>
        <w:rPr>
          <w:bCs/>
          <w:b/>
        </w:rPr>
        <w:t xml:space="preserve">probabilité</w:t>
      </w:r>
      <w:r>
        <w:t xml:space="preserve"> </w:t>
      </w:r>
      <w:r>
        <w:t xml:space="preserve">qui tend vers</w:t>
      </w:r>
      <w:r>
        <w:t xml:space="preserve"> </w:t>
      </w:r>
      <m:oMath>
        <m:r>
          <m:t>0</m:t>
        </m:r>
      </m:oMath>
      <w:r>
        <w:t xml:space="preserve">, pas d'une certitude.</w:t>
      </w:r>
    </w:p>
    <w:bookmarkEnd w:id="26"/>
    <w:bookmarkStart w:id="27" w:name="python"/>
    <w:p>
      <w:pPr>
        <w:pStyle w:val="Heading3"/>
      </w:pPr>
      <w:r>
        <w:t xml:space="preserve">8. 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esperance(valeurs, probas):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x,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(valeurs, probas))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variance(valeurs, probas):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esperance(valeurs, probas)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m)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x,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(valeurs, probas))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moyenne_des(n):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(random.randint(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rStyle w:val="VerbatimChar"/>
        </w:rPr>
        <w:t xml:space="preserve">moyenne_des(100000)</w:t>
      </w:r>
      <w:r>
        <w:t xml:space="preserve"> </w:t>
      </w:r>
      <w:r>
        <w:t xml:space="preserve">renvoie une valeur proche de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 c'est la loi des grands nombres. Relance plusieurs fois : les résultats varient peu.</w:t>
      </w:r>
    </w:p>
    <w:bookmarkEnd w:id="27"/>
    <w:bookmarkStart w:id="28" w:name="les-10-pépites-du-chapitre"/>
    <w:p>
      <w:pPr>
        <w:pStyle w:val="Heading3"/>
      </w:pPr>
      <w:r>
        <w:t xml:space="preserve">9. Les 10 pépites du chapitre</w:t>
      </w:r>
    </w:p>
    <w:p>
      <w:pPr>
        <w:numPr>
          <w:ilvl w:val="0"/>
          <w:numId w:val="1007"/>
        </w:numPr>
        <w:pStyle w:val="Compac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le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disparaît, le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au carré.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L'espérance s'additionne toujours</w:t>
      </w:r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 variance s'additionne</w:t>
      </w:r>
      <w:r>
        <w:t xml:space="preserve"> </w:t>
      </w:r>
      <w:r>
        <w:t xml:space="preserve">seulement pour des variables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pour des variables indépendantes.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Bernoulli 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p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  <w:r>
        <w:t xml:space="preserve"> </w:t>
      </w:r>
      <w:r>
        <w:rPr>
          <w:bCs/>
          <w:b/>
        </w:rPr>
        <w:t xml:space="preserve">Binomiale 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n</m:t>
        </m:r>
        <m:r>
          <m:t>p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Moyenne d'un échantillon :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σ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Bienaymé-Tchebychev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Concentration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Dimensionner 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α</m:t>
            </m:r>
            <m:r>
              <m:t> 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(ou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α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pour une fréquence).</w:t>
      </w:r>
    </w:p>
    <w:bookmarkEnd w:id="28"/>
    <w:bookmarkStart w:id="29" w:name="complément-du-programme-pourquoi-vxyvxvy"/>
    <w:p>
      <w:pPr>
        <w:pStyle w:val="Heading3"/>
      </w:pPr>
      <w:r>
        <w:t xml:space="preserve">Complément du programme : pourquoi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pStyle w:val="FirstParagraph"/>
      </w:pPr>
      <w:r>
        <w:t xml:space="preserve">Pour deux variables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, on admet que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Y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 On en déduit la formule de la variance d'une somme.</w:t>
      </w:r>
    </w:p>
    <w:p>
      <w:pPr>
        <w:pStyle w:val="BodyText"/>
      </w:pPr>
      <w:r>
        <w:rPr>
          <w:bCs/>
          <w:b/>
        </w:rPr>
        <w:t xml:space="preserve">Démonstration.</w:t>
      </w:r>
      <w:r>
        <w:t xml:space="preserve"> </w:t>
      </w:r>
      <w:r>
        <w:t xml:space="preserve">On développe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Y</m:t>
                    </m:r>
                  </m:e>
                </m:d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  <m:r>
                  <m:rPr>
                    <m:sty m:val="p"/>
                  </m:rPr>
                  <m:t>+</m:t>
                </m:r>
                <m:r>
                  <m:t>E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Y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e>
          </m:d>
          <m:r>
            <m:rPr>
              <m:sty m:val="p"/>
            </m:rPr>
            <m:t>=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+</m:t>
          </m:r>
          <m:r>
            <m:t>2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t>Y</m:t>
              </m:r>
            </m:e>
          </m:d>
          <m:r>
            <m:rPr>
              <m:sty m:val="p"/>
            </m:rPr>
            <m:t>+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−</m:t>
          </m:r>
          <m:r>
            <m:t>E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2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</m:e>
          </m:d>
          <m:r>
            <m:rPr>
              <m:sty m:val="p"/>
            </m:rPr>
            <m:t>−</m:t>
          </m:r>
          <m:r>
            <m:t>E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Y</m:t>
                  </m:r>
                </m:e>
              </m:d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On regroupe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+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t>Y</m:t>
                </m:r>
              </m:e>
            </m:d>
            <m:r>
              <m:rPr>
                <m:sty m:val="p"/>
              </m:rPr>
              <m:t>−</m:t>
            </m:r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</m:e>
            </m:d>
          </m:e>
        </m:d>
      </m:oMath>
      <w:r>
        <w:t xml:space="preserve">.</w:t>
      </w:r>
    </w:p>
    <w:p>
      <w:pPr>
        <w:pStyle w:val="BodyText"/>
      </w:pPr>
      <w:r>
        <w:t xml:space="preserve">Par indépendance, le crochet est nul. 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Sans indépendance, il reste le terme</w:t>
      </w:r>
      <w:r>
        <w:t xml:space="preserve"> </w:t>
      </w:r>
      <m:oMath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t>Y</m:t>
                </m:r>
              </m:e>
            </m:d>
            <m:r>
              <m:rPr>
                <m:sty m:val="p"/>
              </m:rPr>
              <m:t>−</m:t>
            </m:r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</m:e>
            </m:d>
          </m:e>
        </m:d>
      </m:oMath>
      <w:r>
        <w:t xml:space="preserve">, qu'on appelle</w:t>
      </w:r>
      <w:r>
        <w:t xml:space="preserve"> </w:t>
      </w:r>
      <w:r>
        <w:rPr>
          <w:bCs/>
          <w:b/>
        </w:rPr>
        <w:t xml:space="preserve">covariance</w:t>
      </w:r>
      <w:r>
        <w:t xml:space="preserve"> </w:t>
      </w:r>
      <w:r>
        <w:t xml:space="preserve">(hors programme).</w:t>
      </w:r>
    </w:p>
    <w:bookmarkEnd w:id="29"/>
    <w:bookmarkStart w:id="30" w:name="ce-qui-peut-tomber-au-bac"/>
    <w:p>
      <w:pPr>
        <w:pStyle w:val="Heading3"/>
      </w:pPr>
      <w:r>
        <w:t xml:space="preserve">10. Ce qui peut tomber au bac</w:t>
      </w:r>
    </w:p>
    <w:p>
      <w:pPr>
        <w:numPr>
          <w:ilvl w:val="0"/>
          <w:numId w:val="1008"/>
        </w:numPr>
        <w:pStyle w:val="Compact"/>
      </w:pPr>
      <w:r>
        <w:t xml:space="preserve">L'</w:t>
      </w:r>
      <w:r>
        <w:rPr>
          <w:bCs/>
          <w:b/>
        </w:rPr>
        <w:t xml:space="preserve">espérance, la variance, l'écart-type</w:t>
      </w:r>
      <w:r>
        <w:t xml:space="preserve">, la</w:t>
      </w:r>
      <w:r>
        <w:t xml:space="preserve"> </w:t>
      </w:r>
      <w:r>
        <w:rPr>
          <w:bCs/>
          <w:b/>
        </w:rPr>
        <w:t xml:space="preserve">transformation affine</w:t>
      </w:r>
      <w:r>
        <w:t xml:space="preserve"> </w:t>
      </w:r>
      <w:r>
        <w:t xml:space="preserve">(fiche 1).</w:t>
      </w:r>
    </w:p>
    <w:p>
      <w:pPr>
        <w:numPr>
          <w:ilvl w:val="0"/>
          <w:numId w:val="1008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sommes de variables</w:t>
      </w:r>
      <w:r>
        <w:t xml:space="preserve">, l'</w:t>
      </w:r>
      <w:r>
        <w:rPr>
          <w:bCs/>
          <w:b/>
        </w:rPr>
        <w:t xml:space="preserve">indépendance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loi binomiale</w:t>
      </w:r>
      <w:r>
        <w:t xml:space="preserve"> </w:t>
      </w:r>
      <w:r>
        <w:t xml:space="preserve">comme somme (fiche 2).</w:t>
      </w:r>
    </w:p>
    <w:p>
      <w:pPr>
        <w:numPr>
          <w:ilvl w:val="0"/>
          <w:numId w:val="1008"/>
        </w:numPr>
        <w:pStyle w:val="Compact"/>
      </w:pPr>
      <w:r>
        <w:t xml:space="preserve">L'</w:t>
      </w:r>
      <w:r>
        <w:rPr>
          <w:bCs/>
          <w:b/>
        </w:rPr>
        <w:t xml:space="preserve">inégalité de Bienaymé-Tchebychev</w:t>
      </w:r>
      <w:r>
        <w:t xml:space="preserve"> </w:t>
      </w:r>
      <w:r>
        <w:t xml:space="preserve">appliquée à une variable ou à une loi binomiale (fiche 3).</w:t>
      </w:r>
    </w:p>
    <w:p>
      <w:pPr>
        <w:numPr>
          <w:ilvl w:val="0"/>
          <w:numId w:val="1008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 des grands nombres</w:t>
      </w:r>
      <w:r>
        <w:t xml:space="preserve">, l'</w:t>
      </w:r>
      <w:r>
        <w:rPr>
          <w:bCs/>
          <w:b/>
        </w:rPr>
        <w:t xml:space="preserve">échantillonnage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simulation</w:t>
      </w:r>
      <w:r>
        <w:t xml:space="preserve"> </w:t>
      </w:r>
      <w:r>
        <w:t xml:space="preserve">avec Python (fiche 4 et exercices type bac).</w:t>
      </w:r>
    </w:p>
    <w:p>
      <w:pPr>
        <w:pStyle w:val="FirstParagraph"/>
      </w:pPr>
      <w:r>
        <w:t xml:space="preserve">Tu as maintenant le cours. Passe aux quatre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Sommes de variables aléatoires et concentration : le cours</dc:title>
  <dc:creator>Antoine Boutin, plusquunprof.com</dc:creator>
  <dc:language>fr</dc:language>
  <cp:keywords/>
  <dcterms:created xsi:type="dcterms:W3CDTF">2026-10-08T18:22:05Z</dcterms:created>
  <dcterms:modified xsi:type="dcterms:W3CDTF">2026-10-08T18:22:05Z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