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Guide de rédaction : sommes de variables aléatoires et concentration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Ce guide complète le Guide de rédaction général. Il rassemble, pour le chapitre Sommes de variables aléatoires et concentration,</w:t>
      </w:r>
      <w:r>
        <w:t xml:space="preserve"> </w:t>
      </w:r>
      <w:r>
        <w:rPr>
          <w:bCs/>
          <w:b/>
        </w:rPr>
        <w:t xml:space="preserve">les quatorze situations qui reviennent au bac</w:t>
      </w:r>
      <w:r>
        <w:t xml:space="preserve"> </w:t>
      </w:r>
      <w:r>
        <w:t xml:space="preserve">et, pour chacune, la rédaction modèle.</w:t>
      </w:r>
    </w:p>
    <w:p>
      <w:pPr>
        <w:pStyle w:val="BodyText"/>
      </w:pPr>
      <w:r>
        <w:t xml:space="preserve">Dans ce chapitre, le correcteur veut voir</w:t>
      </w:r>
      <w:r>
        <w:t xml:space="preserve"> </w:t>
      </w:r>
      <w:r>
        <w:rPr>
          <w:bCs/>
          <w:b/>
        </w:rPr>
        <w:t xml:space="preserve">les ingrédients écrits</w:t>
      </w:r>
      <w:r>
        <w:t xml:space="preserve"> </w:t>
      </w:r>
      <w:r>
        <w:t xml:space="preserve">: la variable, son espérance, sa variance, l'indépendance, le</w:t>
      </w:r>
      <w:r>
        <w:t xml:space="preserve"> </w:t>
      </w:r>
      <m:oMath>
        <m:r>
          <m:t>δ</m:t>
        </m:r>
      </m:oMath>
      <w:r>
        <w:t xml:space="preserve"> </w:t>
      </w:r>
      <w:r>
        <w:t xml:space="preserve">choisi.</w:t>
      </w:r>
    </w:p>
    <w:p>
      <w:pPr>
        <w:pStyle w:val="BodyText"/>
      </w:pPr>
      <w:r>
        <w:t xml:space="preserve">Les calculs sont courts.</w:t>
      </w:r>
    </w:p>
    <w:p>
      <w:pPr>
        <w:pStyle w:val="BodyText"/>
      </w:pPr>
      <w:r>
        <w:t xml:space="preserve">Ce sont ces ingrédients qui rapportent les points.</w:t>
      </w:r>
    </w:p>
    <w:p>
      <w:pPr>
        <w:pStyle w:val="BodyText"/>
      </w:pPr>
      <w:r>
        <w:rPr>
          <w:bCs/>
          <w:b/>
        </w:rPr>
        <w:t xml:space="preserve">Le principe du chapitre</w:t>
      </w:r>
    </w:p>
    <w:p>
      <w:pPr>
        <w:pStyle w:val="BodyText"/>
      </w:pPr>
      <w:r>
        <w:t xml:space="preserve">Avec les sommes de variables et la concentration, un correcteur regarde surtout</w:t>
      </w:r>
      <w:r>
        <w:t xml:space="preserve"> </w:t>
      </w:r>
      <w:r>
        <w:rPr>
          <w:bCs/>
          <w:b/>
        </w:rPr>
        <w:t xml:space="preserve">cinq choses</w:t>
      </w:r>
      <w:r>
        <w:t xml:space="preserve"> 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l'</w:t>
      </w:r>
      <w:r>
        <w:rPr>
          <w:bCs/>
          <w:b/>
        </w:rPr>
        <w:t xml:space="preserve">espérance, la variance et l'écart-type écrits</w:t>
      </w:r>
      <w:r>
        <w:t xml:space="preserve"> </w:t>
      </w:r>
      <w:r>
        <w:t xml:space="preserve">avant toute inégalité ;</w:t>
      </w:r>
    </w:p>
    <w:p>
      <w:pPr>
        <w:numPr>
          <w:ilvl w:val="0"/>
          <w:numId w:val="1001"/>
        </w:numPr>
        <w:pStyle w:val="Compact"/>
      </w:pPr>
      <w:r>
        <w:t xml:space="preserve">l'</w:t>
      </w:r>
      <w:r>
        <w:rPr>
          <w:bCs/>
          <w:b/>
        </w:rPr>
        <w:t xml:space="preserve">indépendance justifiée</w:t>
      </w:r>
      <w:r>
        <w:t xml:space="preserve"> </w:t>
      </w:r>
      <w:r>
        <w:t xml:space="preserve">avant d'additionner des variances ;</w:t>
      </w:r>
    </w:p>
    <w:p>
      <w:pPr>
        <w:numPr>
          <w:ilvl w:val="0"/>
          <w:numId w:val="1001"/>
        </w:numPr>
        <w:pStyle w:val="Compact"/>
      </w:pPr>
      <w:r>
        <w:t xml:space="preserve">l'</w:t>
      </w:r>
      <w:r>
        <w:rPr>
          <w:bCs/>
          <w:b/>
        </w:rPr>
        <w:t xml:space="preserve">inégalité citée</w:t>
      </w:r>
      <w:r>
        <w:t xml:space="preserve"> </w:t>
      </w:r>
      <w:r>
        <w:t xml:space="preserve">avec</w:t>
      </w:r>
      <w:r>
        <w:t xml:space="preserve"> </w:t>
      </w:r>
      <m:oMath>
        <m:r>
          <m:t>μ</m:t>
        </m:r>
      </m:oMath>
      <w:r>
        <w:t xml:space="preserve">,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δ</m:t>
        </m:r>
      </m:oMath>
      <w:r>
        <w:t xml:space="preserve"> </w:t>
      </w:r>
      <w:r>
        <w:t xml:space="preserve">;</w:t>
      </w:r>
    </w:p>
    <w:p>
      <w:pPr>
        <w:numPr>
          <w:ilvl w:val="0"/>
          <w:numId w:val="1001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traduction de l'événement</w:t>
      </w:r>
      <w:r>
        <w:t xml:space="preserve"> </w:t>
      </w:r>
      <w:r>
        <w:t xml:space="preserve">en valeur absolue et l'usage de l'événement contraire ;</w:t>
      </w:r>
    </w:p>
    <w:p>
      <w:pPr>
        <w:numPr>
          <w:ilvl w:val="0"/>
          <w:numId w:val="1001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conclusion nuancée</w:t>
      </w:r>
      <w:r>
        <w:t xml:space="preserve"> </w:t>
      </w:r>
      <w:r>
        <w:t xml:space="preserve">: une majoration est une garantie, pas la valeur exacte.</w:t>
      </w:r>
    </w:p>
    <w:bookmarkStart w:id="20" w:name="X2935a90a3c8b07a98e2cb0691086f14bbd0fae6"/>
    <w:p>
      <w:pPr>
        <w:pStyle w:val="Heading3"/>
      </w:pPr>
      <w:r>
        <w:t xml:space="preserve">1. Les quatorze situations et leur rédaction modèle</w:t>
      </w:r>
    </w:p>
    <w:p>
      <w:pPr>
        <w:pStyle w:val="FirstParagraph"/>
      </w:pPr>
      <w:r>
        <w:rPr>
          <w:bCs/>
          <w:b/>
        </w:rPr>
        <w:t xml:space="preserve">Situation 1 : espérance, variance, écart-type d'une loi.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7</m:t>
        </m:r>
        <m:r>
          <m:rPr>
            <m:sty m:val="p"/>
          </m:rPr>
          <m:t>+</m:t>
        </m:r>
        <m:r>
          <m:t>4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+</m:t>
        </m:r>
        <m:r>
          <m:t>10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4</m:t>
        </m:r>
      </m:oMath>
      <w:r>
        <w:t xml:space="preserve">.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=</m:t>
        </m:r>
        <m:r>
          <m:t>4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7</m:t>
        </m:r>
        <m:r>
          <m:rPr>
            <m:sty m:val="p"/>
          </m:rPr>
          <m:t>+</m:t>
        </m:r>
        <m:r>
          <m:t>16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+</m:t>
        </m:r>
        <m:r>
          <m:t>100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=</m:t>
        </m:r>
        <m:r>
          <m:t>16</m:t>
        </m:r>
      </m:oMath>
      <w:r>
        <w:t xml:space="preserve">. D'après la formule de König-Huygens,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E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−</m:t>
        </m:r>
        <m:r>
          <m:t>E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16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16</m:t>
        </m:r>
        <m:r>
          <m:rPr>
            <m:sty m:val="p"/>
          </m:rPr>
          <m:t>=</m:t>
        </m:r>
        <m:r>
          <m:t>15</m:t>
        </m:r>
        <m:r>
          <m:rPr>
            <m:sty m:val="p"/>
          </m:rPr>
          <m:t>,</m:t>
        </m:r>
        <m:r>
          <m:t>84</m:t>
        </m:r>
      </m:oMath>
      <w:r>
        <w:t xml:space="preserve">. Donc</w:t>
      </w:r>
      <w:r>
        <w:t xml:space="preserve"> </w:t>
      </w:r>
      <m:oMath>
        <m:r>
          <m:t>σ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15</m:t>
            </m:r>
            <m:r>
              <m:rPr>
                <m:sty m:val="p"/>
              </m:rPr>
              <m:t>,</m:t>
            </m:r>
            <m:r>
              <m:t>84</m:t>
            </m:r>
          </m:e>
        </m:rad>
        <m:r>
          <m:rPr>
            <m:sty m:val="p"/>
          </m:rPr>
          <m:t>≈</m:t>
        </m:r>
        <m:r>
          <m:t>3</m:t>
        </m:r>
        <m:r>
          <m:rPr>
            <m:sty m:val="p"/>
          </m:rPr>
          <m:t>,</m:t>
        </m:r>
        <m:r>
          <m:t>98</m:t>
        </m:r>
      </m:oMath>
      <w:r>
        <w:t xml:space="preserve">. »</w:t>
      </w:r>
    </w:p>
    <w:p>
      <w:pPr>
        <w:pStyle w:val="BodyText"/>
      </w:pPr>
      <w:r>
        <w:t xml:space="preserve">Vérifie que</w:t>
      </w:r>
      <w:r>
        <w:t xml:space="preserve"> </w:t>
      </w:r>
      <w:r>
        <w:rPr>
          <w:bCs/>
          <w:b/>
        </w:rPr>
        <w:t xml:space="preserve">la somme des probabilités vaut</w:t>
      </w:r>
      <w:r>
        <w:rPr>
          <w:bCs/>
          <w:b/>
        </w:rPr>
        <w:t xml:space="preserve"> </w:t>
      </w:r>
      <m:oMath>
        <m:r>
          <m:t>1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Situation 2 : transformation affine.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G</m:t>
        </m:r>
        <m:r>
          <m:rPr>
            <m:sty m:val="p"/>
          </m:rPr>
          <m:t>=</m:t>
        </m:r>
        <m:r>
          <m:t>2</m:t>
        </m:r>
        <m:r>
          <m:t>X</m:t>
        </m:r>
        <m:r>
          <m:rPr>
            <m:sty m:val="p"/>
          </m:rPr>
          <m:t>−</m:t>
        </m:r>
        <m:r>
          <m:t>5</m:t>
        </m:r>
      </m:oMath>
      <w:r>
        <w:t xml:space="preserve">. Donc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G</m:t>
            </m:r>
          </m:e>
        </m:d>
        <m:r>
          <m:rPr>
            <m:sty m:val="p"/>
          </m:rPr>
          <m:t>=</m:t>
        </m:r>
        <m:r>
          <m:t>2</m:t>
        </m:r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−</m:t>
        </m:r>
        <m:r>
          <m:t>5</m:t>
        </m:r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G</m:t>
            </m:r>
          </m:e>
        </m:d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2</m:t>
            </m:r>
          </m:sup>
        </m:sSup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35</m:t>
            </m:r>
          </m:num>
          <m:den>
            <m:r>
              <m:t>3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r>
          <m:t>σ</m:t>
        </m:r>
        <m:d>
          <m:dPr>
            <m:begChr m:val="("/>
            <m:endChr m:val=")"/>
            <m:sepChr m:val=""/>
            <m:grow/>
          </m:dPr>
          <m:e>
            <m:r>
              <m:t>G</m:t>
            </m:r>
          </m:e>
        </m:d>
        <m:r>
          <m:rPr>
            <m:sty m:val="p"/>
          </m:rPr>
          <m:t>=</m:t>
        </m:r>
        <m:d>
          <m:dPr>
            <m:begChr m:val="|"/>
            <m:endChr m:val="|"/>
            <m:sepChr m:val=""/>
            <m:grow/>
          </m:dPr>
          <m:e>
            <m:r>
              <m:t>2</m:t>
            </m:r>
          </m:e>
        </m:d>
        <m:r>
          <m:t> </m:t>
        </m:r>
        <m:r>
          <m:t>σ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. »</w:t>
      </w:r>
    </w:p>
    <w:p>
      <w:pPr>
        <w:pStyle w:val="BodyText"/>
      </w:pP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X</m:t>
            </m:r>
            <m:r>
              <m:rPr>
                <m:sty m:val="p"/>
              </m:rPr>
              <m:t>+</m:t>
            </m:r>
            <m:r>
              <m:t>b</m:t>
            </m:r>
          </m:e>
        </m:d>
        <m:r>
          <m:rPr>
            <m:sty m:val="p"/>
          </m:rPr>
          <m:t>=</m:t>
        </m:r>
        <m:sSup>
          <m:e>
            <m:r>
              <m:t>a</m:t>
            </m:r>
          </m:e>
          <m:sup>
            <m:r>
              <m:t>2</m:t>
            </m:r>
          </m:sup>
        </m:sSup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: le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disparaît, le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passe au carré,</w:t>
      </w:r>
      <w:r>
        <w:t xml:space="preserve"> </w:t>
      </w:r>
      <m:oMath>
        <m:r>
          <m:t>σ</m:t>
        </m:r>
      </m:oMath>
      <w:r>
        <w:t xml:space="preserve"> </w:t>
      </w:r>
      <w:r>
        <w:t xml:space="preserve">prend la valeur absolue.</w:t>
      </w:r>
    </w:p>
    <w:p>
      <w:pPr>
        <w:pStyle w:val="BodyText"/>
      </w:pPr>
      <w:r>
        <w:rPr>
          <w:bCs/>
          <w:b/>
        </w:rPr>
        <w:t xml:space="preserve">Situation 3 : linéarité de l'espérance.</w:t>
      </w:r>
    </w:p>
    <w:p>
      <w:pPr>
        <w:pStyle w:val="BodyText"/>
      </w:pPr>
      <w:r>
        <w:t xml:space="preserve">« Par linéarité de l'espérance,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  <m:r>
              <m:t>Y</m:t>
            </m:r>
            <m:r>
              <m:rPr>
                <m:sty m:val="p"/>
              </m:rPr>
              <m:t>+</m:t>
            </m:r>
            <m:r>
              <m:t>4</m:t>
            </m:r>
          </m:e>
        </m:d>
        <m:r>
          <m:rPr>
            <m:sty m:val="p"/>
          </m:rPr>
          <m:t>=</m:t>
        </m:r>
        <m:r>
          <m:t>3</m:t>
        </m:r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−</m:t>
        </m:r>
        <m:r>
          <m:t>2</m:t>
        </m:r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</m:e>
        </m:d>
        <m:r>
          <m:rPr>
            <m:sty m:val="p"/>
          </m:rPr>
          <m:t>+</m:t>
        </m:r>
        <m:r>
          <m:t>4</m:t>
        </m:r>
        <m:r>
          <m:rPr>
            <m:sty m:val="p"/>
          </m:rPr>
          <m:t>=</m:t>
        </m:r>
        <m:r>
          <m:t>12</m:t>
        </m:r>
      </m:oMath>
      <w:r>
        <w:t xml:space="preserve">. »</w:t>
      </w:r>
    </w:p>
    <w:p>
      <w:pPr>
        <w:pStyle w:val="BodyText"/>
      </w:pPr>
      <w:r>
        <w:t xml:space="preserve">La linéarité</w:t>
      </w:r>
      <w:r>
        <w:t xml:space="preserve"> </w:t>
      </w:r>
      <w:r>
        <w:rPr>
          <w:bCs/>
          <w:b/>
        </w:rPr>
        <w:t xml:space="preserve">ne demande aucune indépendance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Situation 4 : justifier l'indépendance de deux variables.</w:t>
      </w:r>
    </w:p>
    <w:p>
      <w:pPr>
        <w:pStyle w:val="BodyText"/>
      </w:pPr>
      <w:r>
        <w:t xml:space="preserve">« Les deux lancers sont indépendants, donc les variables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X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sont indépendantes. »</w:t>
      </w:r>
    </w:p>
    <w:p>
      <w:pPr>
        <w:pStyle w:val="BodyText"/>
      </w:pPr>
      <w:r>
        <w:t xml:space="preserve">Par un tableau : «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Y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≠</m:t>
        </m:r>
        <m:r>
          <m:t>0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  <m:r>
              <m:rPr>
                <m:sty m:val="p"/>
              </m:rPr>
              <m:t>=</m:t>
            </m:r>
            <m:r>
              <m:t>0</m:t>
            </m:r>
          </m:e>
        </m:d>
      </m:oMath>
      <w:r>
        <w:t xml:space="preserve"> </w:t>
      </w:r>
      <w:r>
        <w:t xml:space="preserve">: les variables ne sont pas indépendantes. »</w:t>
      </w:r>
    </w:p>
    <w:p>
      <w:pPr>
        <w:pStyle w:val="BodyText"/>
      </w:pPr>
      <w:r>
        <w:rPr>
          <w:bCs/>
          <w:b/>
        </w:rPr>
        <w:t xml:space="preserve">Situation 5 : variance d'une somme.</w:t>
      </w:r>
    </w:p>
    <w:p>
      <w:pPr>
        <w:pStyle w:val="BodyText"/>
      </w:pPr>
      <w:r>
        <w:t xml:space="preserve">« Les variables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X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sont indépendantes. Donc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+</m:t>
            </m:r>
            <m:sSub>
              <m:e>
                <m:r>
                  <m:t>X</m:t>
                </m:r>
              </m:e>
              <m:sub>
                <m:r>
                  <m:t>2</m:t>
                </m:r>
              </m:sub>
            </m:sSub>
          </m:e>
        </m:d>
        <m:r>
          <m:rPr>
            <m:sty m:val="p"/>
          </m:rPr>
          <m:t>=</m:t>
        </m:r>
        <m:r>
          <m:t>V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1</m:t>
                </m:r>
              </m:sub>
            </m:sSub>
          </m:e>
        </m:d>
        <m:r>
          <m:rPr>
            <m:sty m:val="p"/>
          </m:rPr>
          <m:t>+</m:t>
        </m:r>
        <m:r>
          <m:t>V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2</m:t>
                </m:r>
              </m:sub>
            </m:sSub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35</m:t>
            </m:r>
          </m:num>
          <m:den>
            <m:r>
              <m:t>6</m:t>
            </m:r>
          </m:den>
        </m:f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Additionne les variances, jamais les écarts-types.</w:t>
      </w:r>
      <w:r>
        <w:t xml:space="preserve"> </w:t>
      </w:r>
      <w:r>
        <w:t xml:space="preserve">Pour une différence :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Y</m:t>
            </m:r>
          </m:e>
        </m:d>
        <m:r>
          <m:rPr>
            <m:sty m:val="p"/>
          </m:rPr>
          <m:t>=</m:t>
        </m:r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+</m:t>
        </m:r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</m:e>
        </m:d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Situation 6 : la loi binomiale comme somme.</w:t>
      </w:r>
    </w:p>
    <w:p>
      <w:pPr>
        <w:pStyle w:val="BodyText"/>
      </w:pPr>
      <w:r>
        <w:t xml:space="preserve">« Soit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la variable qui vaut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si la</w:t>
      </w:r>
      <w:r>
        <w:t xml:space="preserve"> </w:t>
      </w:r>
      <m:oMath>
        <m:r>
          <m:t>i</m:t>
        </m:r>
      </m:oMath>
      <w:r>
        <w:t xml:space="preserve">-ème épreuve est un succès,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sinon.</w:t>
      </w:r>
    </w:p>
    <w:p>
      <w:pPr>
        <w:pStyle w:val="BodyText"/>
      </w:pPr>
      <w:r>
        <w:t xml:space="preserve">Les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sont de Bernoulli de paramètre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et indépendantes, et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r>
          <m:rPr>
            <m:sty m:val="p"/>
          </m:rPr>
          <m:t>…</m:t>
        </m:r>
        <m:r>
          <m:rPr>
            <m:sty m:val="p"/>
          </m:rPr>
          <m:t>+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.</w:t>
      </w:r>
    </w:p>
    <w:p>
      <w:pPr>
        <w:pStyle w:val="BodyText"/>
      </w:pPr>
      <w:r>
        <w:t xml:space="preserve">Donc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n</m:t>
        </m:r>
        <m:r>
          <m:t>p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n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p</m:t>
            </m:r>
          </m:e>
        </m:d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7 : somme et moyenne d'un échantillon.</w:t>
      </w:r>
    </w:p>
    <w:p>
      <w:pPr>
        <w:pStyle w:val="BodyText"/>
      </w:pPr>
      <w:r>
        <w:t xml:space="preserve">«</w:t>
      </w:r>
      <w:r>
        <w:t xml:space="preserve"> </w:t>
      </w:r>
      <m:oMath>
        <m:sSub>
          <m:e>
            <m:r>
              <m:t>S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r>
          <m:rPr>
            <m:sty m:val="p"/>
          </m:rPr>
          <m:t>…</m:t>
        </m:r>
        <m:r>
          <m:rPr>
            <m:sty m:val="p"/>
          </m:rPr>
          <m:t>+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avec les</w:t>
      </w:r>
      <w:r>
        <w:t xml:space="preserve"> </w:t>
      </w:r>
      <m:oMath>
        <m:sSub>
          <m:e>
            <m:r>
              <m:t>X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indépendantes de même loi que</w:t>
      </w:r>
      <w:r>
        <w:t xml:space="preserve"> </w:t>
      </w:r>
      <m:oMath>
        <m:r>
          <m:t>X</m:t>
        </m:r>
      </m:oMath>
      <w:r>
        <w:t xml:space="preserve">.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S</m:t>
                </m:r>
              </m:e>
              <m:sub>
                <m:r>
                  <m:t>n</m:t>
                </m:r>
              </m:sub>
            </m:sSub>
          </m:e>
        </m:d>
        <m:r>
          <m:rPr>
            <m:sty m:val="p"/>
          </m:rPr>
          <m:t>=</m:t>
        </m:r>
        <m:r>
          <m:t>n</m:t>
        </m:r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,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S</m:t>
                </m:r>
              </m:e>
              <m:sub>
                <m:r>
                  <m:t>n</m:t>
                </m:r>
              </m:sub>
            </m:sSub>
          </m:e>
        </m:d>
        <m:r>
          <m:rPr>
            <m:sty m:val="p"/>
          </m:rPr>
          <m:t>=</m:t>
        </m:r>
        <m:r>
          <m:t>n</m:t>
        </m:r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σ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S</m:t>
                </m:r>
              </m:e>
              <m:sub>
                <m:r>
                  <m:t>n</m:t>
                </m:r>
              </m:sub>
            </m:sSub>
          </m:e>
        </m:d>
        <m:r>
          <m:rPr>
            <m:sty m:val="p"/>
          </m:rPr>
          <m:t>=</m:t>
        </m:r>
        <m:r>
          <m:t>σ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ad>
          <m:radPr>
            <m:degHide m:val="on"/>
          </m:radPr>
          <m:deg/>
          <m:e>
            <m:r>
              <m:t>n</m:t>
            </m:r>
          </m:e>
        </m:rad>
      </m:oMath>
      <w:r>
        <w:t xml:space="preserve">. La moyenne</w:t>
      </w:r>
      <w:r>
        <w:t xml:space="preserve"> </w:t>
      </w:r>
      <m:oMath>
        <m:sSub>
          <m:e>
            <m:r>
              <m:t>M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sSub>
              <m:e>
                <m:r>
                  <m:t>S</m:t>
                </m:r>
              </m:e>
              <m:sub>
                <m:r>
                  <m:t>n</m:t>
                </m:r>
              </m:sub>
            </m:sSub>
          </m:num>
          <m:den>
            <m:r>
              <m:t>n</m:t>
            </m:r>
          </m:den>
        </m:f>
      </m:oMath>
      <w:r>
        <w:t xml:space="preserve"> </w:t>
      </w:r>
      <w:r>
        <w:t xml:space="preserve">vérifie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M</m:t>
                </m:r>
              </m:e>
              <m:sub>
                <m:r>
                  <m:t>n</m:t>
                </m:r>
              </m:sub>
            </m:sSub>
          </m:e>
        </m:d>
        <m:r>
          <m:rPr>
            <m:sty m:val="p"/>
          </m:rPr>
          <m:t>=</m:t>
        </m:r>
        <m:r>
          <m:t>E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,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M</m:t>
                </m:r>
              </m:e>
              <m:sub>
                <m:r>
                  <m:t>n</m:t>
                </m:r>
              </m:sub>
            </m:sSub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V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num>
          <m:den>
            <m:r>
              <m:t>n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r>
          <m:t>σ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M</m:t>
                </m:r>
              </m:e>
              <m:sub>
                <m:r>
                  <m:t>n</m:t>
                </m:r>
              </m:sub>
            </m:sSub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σ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num>
          <m:den>
            <m:rad>
              <m:radPr>
                <m:degHide m:val="on"/>
              </m:radPr>
              <m:deg/>
              <m:e>
                <m:r>
                  <m:t>n</m:t>
                </m:r>
              </m:e>
            </m:rad>
          </m:den>
        </m:f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8 : la fréquence d'un succès.</w:t>
      </w:r>
    </w:p>
    <w:p>
      <w:pPr>
        <w:pStyle w:val="BodyText"/>
      </w:pPr>
      <w:r>
        <w:t xml:space="preserve">«</w:t>
      </w:r>
      <w:r>
        <w:t xml:space="preserve"> </w:t>
      </w:r>
      <m:oMath>
        <m:sSub>
          <m:e>
            <m:r>
              <m:t>X</m:t>
            </m:r>
          </m:e>
          <m:sub>
            <m:r>
              <m:t>n</m:t>
            </m:r>
          </m:sub>
        </m:sSub>
        <m:r>
          <m:rPr>
            <m:sty m:val="p"/>
          </m:rPr>
          <m:t>∼</m:t>
        </m:r>
        <m:r>
          <m:rPr>
            <m:sty m:val="p"/>
            <m:scr m:val="script"/>
          </m:rPr>
          <m:t>B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,</m:t>
            </m:r>
            <m:r>
              <m:t>p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F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sSub>
              <m:e>
                <m:r>
                  <m:t>X</m:t>
                </m:r>
              </m:e>
              <m:sub>
                <m:r>
                  <m:t>n</m:t>
                </m:r>
              </m:sub>
            </m:sSub>
          </m:num>
          <m:den>
            <m:r>
              <m:t>n</m:t>
            </m:r>
          </m:den>
        </m:f>
      </m:oMath>
      <w:r>
        <w:t xml:space="preserve">.</w:t>
      </w:r>
      <w:r>
        <w:t xml:space="preserve"> </w:t>
      </w:r>
      <m:oMath>
        <m:r>
          <m:t>E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F</m:t>
                </m:r>
              </m:e>
              <m:sub>
                <m:r>
                  <m:t>n</m:t>
                </m:r>
              </m:sub>
            </m:sSub>
          </m:e>
        </m:d>
        <m:r>
          <m:rPr>
            <m:sty m:val="p"/>
          </m:rPr>
          <m:t>=</m:t>
        </m:r>
        <m:r>
          <m:t>p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F</m:t>
                </m:r>
              </m:e>
              <m:sub>
                <m:r>
                  <m:t>n</m:t>
                </m:r>
              </m:sub>
            </m:sSub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V</m:t>
            </m:r>
            <m:d>
              <m:dPr>
                <m:begChr m:val="("/>
                <m:endChr m:val=")"/>
                <m:sepChr m:val=""/>
                <m:grow/>
              </m:dPr>
              <m:e>
                <m:sSub>
                  <m:e>
                    <m:r>
                      <m:t>X</m:t>
                    </m:r>
                  </m:e>
                  <m:sub>
                    <m:r>
                      <m:t>n</m:t>
                    </m:r>
                  </m:sub>
                </m:sSub>
              </m:e>
            </m:d>
          </m:num>
          <m:den>
            <m:sSup>
              <m:e>
                <m:r>
                  <m:t>n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t>p</m:t>
                </m:r>
              </m:e>
            </m:d>
          </m:num>
          <m:den>
            <m:r>
              <m:t>n</m:t>
            </m:r>
          </m:den>
        </m:f>
        <m:r>
          <m:rPr>
            <m:sty m:val="p"/>
          </m:rPr>
          <m:t>≤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  <m:r>
              <m:t>n</m:t>
            </m:r>
          </m:den>
        </m:f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9 : citer l'inégalité de Bienaymé-Tchebychev.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 pour espérance</w:t>
      </w:r>
      <w:r>
        <w:t xml:space="preserve"> </w:t>
      </w:r>
      <m:oMath>
        <m:r>
          <m:t>μ</m:t>
        </m:r>
        <m:r>
          <m:rPr>
            <m:sty m:val="p"/>
          </m:rPr>
          <m:t>=</m:t>
        </m:r>
        <m:r>
          <m:t>50</m:t>
        </m:r>
      </m:oMath>
      <w:r>
        <w:t xml:space="preserve"> </w:t>
      </w:r>
      <w:r>
        <w:t xml:space="preserve">et pour variance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25</m:t>
        </m:r>
      </m:oMath>
      <w:r>
        <w:t xml:space="preserve">. D'après l'inégalité de Bienaymé-Tchebychev, pour</w:t>
      </w:r>
      <w:r>
        <w:t xml:space="preserve"> </w:t>
      </w:r>
      <m:oMath>
        <m:r>
          <m:t>δ</m:t>
        </m:r>
        <m:r>
          <m:rPr>
            <m:sty m:val="p"/>
          </m:rPr>
          <m:t>=</m:t>
        </m:r>
        <m:r>
          <m:t>10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50</m:t>
                </m:r>
              </m:e>
            </m:d>
            <m:r>
              <m:rPr>
                <m:sty m:val="p"/>
              </m:rPr>
              <m:t>≥</m:t>
            </m:r>
            <m:r>
              <m:t>10</m:t>
            </m:r>
          </m:e>
        </m:d>
        <m:r>
          <m:rPr>
            <m:sty m:val="p"/>
          </m:rPr>
          <m:t>≤</m:t>
        </m:r>
        <m:f>
          <m:fPr>
            <m:type m:val="bar"/>
          </m:fPr>
          <m:num>
            <m:r>
              <m:t>V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num>
          <m:den>
            <m:sSup>
              <m:e>
                <m:r>
                  <m:t>δ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25</m:t>
            </m:r>
          </m:num>
          <m:den>
            <m:r>
              <m:t>100</m:t>
            </m:r>
          </m:den>
        </m:f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25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Écris</w:t>
      </w:r>
      <w:r>
        <w:rPr>
          <w:bCs/>
          <w:b/>
        </w:rPr>
        <w:t xml:space="preserve"> </w:t>
      </w:r>
      <m:oMath>
        <m:r>
          <m:t>μ</m:t>
        </m:r>
      </m:oMath>
      <w:r>
        <w:rPr>
          <w:bCs/>
          <w:b/>
        </w:rPr>
        <w:t xml:space="preserve">,</w:t>
      </w:r>
      <w:r>
        <w:rPr>
          <w:bCs/>
          <w:b/>
        </w:rPr>
        <w:t xml:space="preserve"> </w:t>
      </w:r>
      <m:oMath>
        <m:r>
          <m:t>V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</w:t>
      </w:r>
      <w:r>
        <w:rPr>
          <w:bCs/>
          <w:b/>
        </w:rPr>
        <w:t xml:space="preserve"> </w:t>
      </w:r>
      <m:oMath>
        <m:r>
          <m:t>δ</m:t>
        </m:r>
      </m:oMath>
      <w:r>
        <w:t xml:space="preserve"> </w:t>
      </w:r>
      <w:r>
        <w:t xml:space="preserve">avant de remplacer.</w:t>
      </w:r>
    </w:p>
    <w:p>
      <w:pPr>
        <w:pStyle w:val="BodyText"/>
      </w:pPr>
      <w:r>
        <w:rPr>
          <w:bCs/>
          <w:b/>
        </w:rPr>
        <w:t xml:space="preserve">Situation 10 : traduire un événement en valeur absolue.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0</m:t>
        </m:r>
        <m:r>
          <m:rPr>
            <m:sty m:val="p"/>
          </m:rPr>
          <m:t>&lt;</m:t>
        </m:r>
        <m:r>
          <m:t>S</m:t>
        </m:r>
        <m:r>
          <m:rPr>
            <m:sty m:val="p"/>
          </m:rPr>
          <m:t>&lt;</m:t>
        </m:r>
        <m:r>
          <m:t>800</m:t>
        </m:r>
        <m:r>
          <m:rPr>
            <m:sty m:val="p"/>
          </m:rPr>
          <m:t>⇔</m:t>
        </m:r>
        <m:r>
          <m:rPr>
            <m:sty m:val="p"/>
          </m:rPr>
          <m:t>−</m:t>
        </m:r>
        <m:r>
          <m:t>400</m:t>
        </m:r>
        <m:r>
          <m:rPr>
            <m:sty m:val="p"/>
          </m:rPr>
          <m:t>&lt;</m:t>
        </m:r>
        <m:r>
          <m:t>S</m:t>
        </m:r>
        <m:r>
          <m:rPr>
            <m:sty m:val="p"/>
          </m:rPr>
          <m:t>−</m:t>
        </m:r>
        <m:r>
          <m:t>400</m:t>
        </m:r>
        <m:r>
          <m:rPr>
            <m:sty m:val="p"/>
          </m:rPr>
          <m:t>&lt;</m:t>
        </m:r>
        <m:r>
          <m:t>400</m:t>
        </m:r>
        <m:r>
          <m:rPr>
            <m:sty m:val="p"/>
          </m:rPr>
          <m:t>⇔</m:t>
        </m:r>
        <m:d>
          <m:dPr>
            <m:begChr m:val="|"/>
            <m:endChr m:val="|"/>
            <m:sepChr m:val=""/>
            <m:grow/>
          </m:dPr>
          <m:e>
            <m:r>
              <m:t>S</m:t>
            </m:r>
            <m:r>
              <m:rPr>
                <m:sty m:val="p"/>
              </m:rPr>
              <m:t>−</m:t>
            </m:r>
            <m:r>
              <m:t>400</m:t>
            </m:r>
          </m:e>
        </m:d>
        <m:r>
          <m:rPr>
            <m:sty m:val="p"/>
          </m:rPr>
          <m:t>&lt;</m:t>
        </m:r>
        <m:r>
          <m:t>400</m:t>
        </m:r>
      </m:oMath>
      <w:r>
        <w:t xml:space="preserve">. On applique l'inégalité avec</w:t>
      </w:r>
      <w:r>
        <w:t xml:space="preserve"> </w:t>
      </w:r>
      <m:oMath>
        <m:r>
          <m:t>μ</m:t>
        </m:r>
        <m:r>
          <m:rPr>
            <m:sty m:val="p"/>
          </m:rPr>
          <m:t>=</m:t>
        </m:r>
        <m:r>
          <m:t>400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δ</m:t>
        </m:r>
        <m:r>
          <m:rPr>
            <m:sty m:val="p"/>
          </m:rPr>
          <m:t>=</m:t>
        </m:r>
        <m:r>
          <m:t>400</m:t>
        </m:r>
      </m:oMath>
      <w:r>
        <w:t xml:space="preserve">. »</w:t>
      </w:r>
    </w:p>
    <w:p>
      <w:pPr>
        <w:pStyle w:val="BodyText"/>
      </w:pPr>
      <w:r>
        <w:t xml:space="preserve">« Strictement entre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»</w:t>
      </w:r>
      <w:r>
        <w:t xml:space="preserve"> </w:t>
      </w:r>
      <m:oMath>
        <m:r>
          <m:rPr>
            <m:sty m:val="p"/>
          </m:rPr>
          <m:t>⇔</m:t>
        </m:r>
        <m:d>
          <m:dPr>
            <m:begChr m:val="|"/>
            <m:endChr m:val="|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μ</m:t>
            </m:r>
          </m:e>
        </m:d>
        <m:r>
          <m:rPr>
            <m:sty m:val="p"/>
          </m:rPr>
          <m:t>&lt;</m:t>
        </m:r>
        <m:r>
          <m:t>δ</m:t>
        </m:r>
      </m:oMath>
      <w:r>
        <w:t xml:space="preserve"> </w:t>
      </w:r>
      <w:r>
        <w:t xml:space="preserve">avec</w:t>
      </w:r>
      <w:r>
        <w:t xml:space="preserve"> </w:t>
      </w:r>
      <m:oMath>
        <m:r>
          <m:t>μ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a</m:t>
            </m:r>
            <m:r>
              <m:rPr>
                <m:sty m:val="p"/>
              </m:rPr>
              <m:t>+</m:t>
            </m:r>
            <m:r>
              <m:t>b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r>
          <m:t>δ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b</m:t>
            </m:r>
            <m:r>
              <m:rPr>
                <m:sty m:val="p"/>
              </m:rPr>
              <m:t>−</m:t>
            </m:r>
            <m:r>
              <m:t>a</m:t>
            </m:r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Situation 11 : minorer avec l'événement contraire.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S</m:t>
                </m:r>
                <m:r>
                  <m:rPr>
                    <m:sty m:val="p"/>
                  </m:rPr>
                  <m:t>−</m:t>
                </m:r>
                <m:r>
                  <m:t>400</m:t>
                </m:r>
              </m:e>
            </m:d>
            <m:r>
              <m:rPr>
                <m:sty m:val="p"/>
              </m:rPr>
              <m:t>≥</m:t>
            </m:r>
            <m:r>
              <m:t>400</m:t>
            </m:r>
          </m:e>
        </m:d>
        <m:r>
          <m:rPr>
            <m:sty m:val="p"/>
          </m:rPr>
          <m:t>≤</m:t>
        </m:r>
        <m:r>
          <m:t>0</m:t>
        </m:r>
        <m:r>
          <m:rPr>
            <m:sty m:val="p"/>
          </m:rPr>
          <m:t>,</m:t>
        </m:r>
        <m:r>
          <m:t>099</m:t>
        </m:r>
      </m:oMath>
      <w:r>
        <w:t xml:space="preserve">. Par événement contraire,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S</m:t>
                </m:r>
                <m:r>
                  <m:rPr>
                    <m:sty m:val="p"/>
                  </m:rPr>
                  <m:t>−</m:t>
                </m:r>
                <m:r>
                  <m:t>400</m:t>
                </m:r>
              </m:e>
            </m:d>
            <m:r>
              <m:rPr>
                <m:sty m:val="p"/>
              </m:rPr>
              <m:t>&lt;</m:t>
            </m:r>
            <m:r>
              <m:t>400</m:t>
            </m:r>
          </m:e>
        </m:d>
        <m:r>
          <m:rPr>
            <m:sty m:val="p"/>
          </m:rPr>
          <m:t>≥</m:t>
        </m:r>
        <m:r>
          <m:t>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099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901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12 : inégalité de concentration pour la moyenne ou la fréquence.</w:t>
      </w:r>
    </w:p>
    <w:p>
      <w:pPr>
        <w:pStyle w:val="BodyText"/>
      </w:pPr>
      <w:r>
        <w:t xml:space="preserve">«</w:t>
      </w:r>
      <w:r>
        <w:t xml:space="preserve"> </w:t>
      </w:r>
      <m:oMath>
        <m:sSub>
          <m:e>
            <m:r>
              <m:t>F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a pour espérance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et pour variance</w:t>
      </w:r>
      <w:r>
        <w:t xml:space="preserve"> </w:t>
      </w:r>
      <m:oMath>
        <m:f>
          <m:fPr>
            <m:type m:val="bar"/>
          </m:fPr>
          <m:num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t>p</m:t>
                </m:r>
              </m:e>
            </m:d>
          </m:num>
          <m:den>
            <m:r>
              <m:t>n</m:t>
            </m:r>
          </m:den>
        </m:f>
      </m:oMath>
      <w:r>
        <w:t xml:space="preserve">. Pour</w:t>
      </w:r>
      <w:r>
        <w:t xml:space="preserve"> </w:t>
      </w:r>
      <m:oMath>
        <m:r>
          <m:t>δ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05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sSub>
                  <m:e>
                    <m:r>
                      <m:t>F</m:t>
                    </m:r>
                  </m:e>
                  <m:sub>
                    <m:r>
                      <m:t>n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t>p</m:t>
                </m:r>
              </m:e>
            </m:d>
            <m:r>
              <m:rPr>
                <m:sty m:val="p"/>
              </m:rPr>
              <m:t>≥</m:t>
            </m:r>
            <m:r>
              <m:t>0</m:t>
            </m:r>
            <m:r>
              <m:rPr>
                <m:sty m:val="p"/>
              </m:rPr>
              <m:t>,</m:t>
            </m:r>
            <m:r>
              <m:t>05</m:t>
            </m:r>
          </m:e>
        </m:d>
        <m:r>
          <m:rPr>
            <m:sty m:val="p"/>
          </m:rPr>
          <m:t>≤</m:t>
        </m:r>
        <m:f>
          <m:fPr>
            <m:type m:val="bar"/>
          </m:fPr>
          <m:num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t>p</m:t>
                </m:r>
              </m:e>
            </m:d>
          </m:num>
          <m:den>
            <m:r>
              <m:t>n</m:t>
            </m:r>
            <m:r>
              <m:rPr>
                <m:sty m:val="p"/>
              </m:rPr>
              <m:t>×</m:t>
            </m:r>
            <m:r>
              <m:t>0</m:t>
            </m:r>
            <m:r>
              <m:rPr>
                <m:sty m:val="p"/>
              </m:rPr>
              <m:t>,</m:t>
            </m:r>
            <m:r>
              <m:t>0025</m:t>
            </m:r>
          </m:den>
        </m:f>
        <m:r>
          <m:rPr>
            <m:sty m:val="p"/>
          </m:rPr>
          <m:t>≤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  <m:r>
              <m:t>n</m:t>
            </m:r>
            <m:r>
              <m:rPr>
                <m:sty m:val="p"/>
              </m:rPr>
              <m:t>×</m:t>
            </m:r>
            <m:r>
              <m:t>0</m:t>
            </m:r>
            <m:r>
              <m:rPr>
                <m:sty m:val="p"/>
              </m:rPr>
              <m:t>,</m:t>
            </m:r>
            <m:r>
              <m:t>0025</m:t>
            </m:r>
          </m:den>
        </m:f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Situation 13 : dimensionner un échantillon.</w:t>
      </w:r>
    </w:p>
    <w:p>
      <w:pPr>
        <w:pStyle w:val="BodyText"/>
      </w:pPr>
      <w:r>
        <w:t xml:space="preserve">« On veut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  <m:r>
              <m:t>n</m:t>
            </m:r>
            <m:r>
              <m:rPr>
                <m:sty m:val="p"/>
              </m:rPr>
              <m:t>×</m:t>
            </m:r>
            <m:r>
              <m:t>0</m:t>
            </m:r>
            <m:r>
              <m:rPr>
                <m:sty m:val="p"/>
              </m:rPr>
              <m:t>,</m:t>
            </m:r>
            <m:sSup>
              <m:e>
                <m:r>
                  <m:t>03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≤</m:t>
        </m:r>
        <m:r>
          <m:t>0</m:t>
        </m:r>
        <m:r>
          <m:rPr>
            <m:sty m:val="p"/>
          </m:rPr>
          <m:t>,</m:t>
        </m:r>
        <m:r>
          <m:t>05</m:t>
        </m:r>
      </m:oMath>
      <w:r>
        <w:t xml:space="preserve">, c'est-à-dire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  <m:r>
              <m:rPr>
                <m:sty m:val="p"/>
              </m:rPr>
              <m:t>×</m:t>
            </m:r>
            <m:r>
              <m:t>0</m:t>
            </m:r>
            <m:r>
              <m:rPr>
                <m:sty m:val="p"/>
              </m:rPr>
              <m:t>,</m:t>
            </m:r>
            <m:r>
              <m:t>0009</m:t>
            </m:r>
            <m:r>
              <m:rPr>
                <m:sty m:val="p"/>
              </m:rPr>
              <m:t>×</m:t>
            </m:r>
            <m:r>
              <m:t>0</m:t>
            </m:r>
            <m:r>
              <m:rPr>
                <m:sty m:val="p"/>
              </m:rPr>
              <m:t>,</m:t>
            </m:r>
            <m:r>
              <m:t>05</m:t>
            </m:r>
          </m:den>
        </m:f>
        <m:r>
          <m:rPr>
            <m:sty m:val="p"/>
          </m:rPr>
          <m:t>≈</m:t>
        </m:r>
        <m:r>
          <m:t>5</m:t>
        </m:r>
        <m:r>
          <m:t> </m:t>
        </m:r>
        <m:r>
          <m:t>555</m:t>
        </m:r>
        <m:r>
          <m:rPr>
            <m:sty m:val="p"/>
          </m:rPr>
          <m:t>,</m:t>
        </m:r>
        <m:r>
          <m:t>6</m:t>
        </m:r>
      </m:oMath>
      <w:r>
        <w:t xml:space="preserve">. Il suffit de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5</m:t>
        </m:r>
        <m:r>
          <m:t> </m:t>
        </m:r>
        <m:r>
          <m:t>556</m:t>
        </m:r>
      </m:oMath>
      <w:r>
        <w:t xml:space="preserve"> </w:t>
      </w:r>
      <w:r>
        <w:t xml:space="preserve">personnes. »</w:t>
      </w:r>
    </w:p>
    <w:p>
      <w:pPr>
        <w:pStyle w:val="BodyText"/>
      </w:pPr>
      <w:r>
        <w:t xml:space="preserve">Arrondis</w:t>
      </w:r>
      <w:r>
        <w:t xml:space="preserve"> </w:t>
      </w:r>
      <w:r>
        <w:rPr>
          <w:bCs/>
          <w:b/>
        </w:rPr>
        <w:t xml:space="preserve">à l'entier supérieur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Situation 14 : la loi des grands nombres avec les gendarmes.</w:t>
      </w:r>
    </w:p>
    <w:p>
      <w:pPr>
        <w:pStyle w:val="BodyText"/>
      </w:pPr>
      <w:r>
        <w:t xml:space="preserve">« Pour tout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,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sSub>
                  <m:e>
                    <m:r>
                      <m:t>M</m:t>
                    </m:r>
                  </m:e>
                  <m:sub>
                    <m:r>
                      <m:t>n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t>μ</m:t>
                </m:r>
              </m:e>
            </m:d>
            <m:r>
              <m:rPr>
                <m:sty m:val="p"/>
              </m:rPr>
              <m:t>≥</m:t>
            </m:r>
            <m:r>
              <m:t>δ</m:t>
            </m:r>
          </m:e>
        </m:d>
        <m:r>
          <m:rPr>
            <m:sty m:val="p"/>
          </m:rPr>
          <m:t>≤</m:t>
        </m:r>
        <m:f>
          <m:fPr>
            <m:type m:val="bar"/>
          </m:fPr>
          <m:num>
            <m:r>
              <m:t>V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num>
          <m:den>
            <m:r>
              <m:t>n</m:t>
            </m:r>
            <m:sSup>
              <m:e>
                <m:r>
                  <m:t>δ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. Comme</w:t>
      </w:r>
      <w:r>
        <w:t xml:space="preserve"> </w:t>
      </w:r>
      <m:oMath>
        <m:f>
          <m:fPr>
            <m:type m:val="bar"/>
          </m:fPr>
          <m:num>
            <m:r>
              <m:t>V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num>
          <m:den>
            <m:r>
              <m:t>n</m:t>
            </m:r>
            <m:sSup>
              <m:e>
                <m:r>
                  <m:t>δ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→</m:t>
        </m:r>
        <m:r>
          <m:t>0</m:t>
        </m:r>
      </m:oMath>
      <w:r>
        <w:t xml:space="preserve">, d'après le théorème des gendarmes,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n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sSub>
                  <m:e>
                    <m:r>
                      <m:t>M</m:t>
                    </m:r>
                  </m:e>
                  <m:sub>
                    <m:r>
                      <m:t>n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t>μ</m:t>
                </m:r>
              </m:e>
            </m:d>
            <m:r>
              <m:rPr>
                <m:sty m:val="p"/>
              </m:rPr>
              <m:t>≥</m:t>
            </m:r>
            <m:r>
              <m:t>δ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 »</w:t>
      </w:r>
    </w:p>
    <w:bookmarkEnd w:id="20"/>
    <w:bookmarkStart w:id="21" w:name="X3f6de12e3424385a08c558498f2b6adc59c8c34"/>
    <w:p>
      <w:pPr>
        <w:pStyle w:val="Heading3"/>
      </w:pPr>
      <w:r>
        <w:t xml:space="preserve">2. Avant / après sur les sommes de variables et la concentration</w:t>
      </w:r>
    </w:p>
    <w:p>
      <w:pPr>
        <w:pStyle w:val="FirstParagraph"/>
      </w:pPr>
      <w:r>
        <w:rPr>
          <w:bCs/>
          <w:b/>
        </w:rPr>
        <w:t xml:space="preserve">a) Une variance de somme.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Y</m:t>
            </m:r>
          </m:e>
        </m:d>
        <m:r>
          <m:rPr>
            <m:sty m:val="p"/>
          </m:rPr>
          <m:t>=</m:t>
        </m:r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+</m:t>
        </m:r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</m:e>
        </m:d>
      </m:oMath>
      <w:r>
        <w:t xml:space="preserve">. »</w:t>
      </w:r>
    </w:p>
    <w:p>
      <w:pPr>
        <w:pStyle w:val="BodyText"/>
      </w:pPr>
      <w:r>
        <w:t xml:space="preserve">« Les variables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sont indépendantes (lancers indépendants). Donc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Y</m:t>
            </m:r>
          </m:e>
        </m:d>
        <m:r>
          <m:rPr>
            <m:sty m:val="p"/>
          </m:rPr>
          <m:t>=</m:t>
        </m:r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+</m:t>
        </m:r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Y</m:t>
            </m:r>
          </m:e>
        </m:d>
      </m:oMath>
      <w:r>
        <w:t xml:space="preserve">. »</w:t>
      </w:r>
    </w:p>
    <w:p>
      <w:pPr>
        <w:pStyle w:val="BodyText"/>
      </w:pPr>
      <w:r>
        <w:t xml:space="preserve">La première n'a</w:t>
      </w:r>
      <w:r>
        <w:t xml:space="preserve"> </w:t>
      </w:r>
      <w:r>
        <w:rPr>
          <w:bCs/>
          <w:b/>
        </w:rPr>
        <w:t xml:space="preserve">pas justifié l'indépendance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b) Bienaymé-Tchebychev.</w:t>
      </w:r>
    </w:p>
    <w:p>
      <w:pPr>
        <w:pStyle w:val="BodyText"/>
      </w:pPr>
      <w:r>
        <w:t xml:space="preserve">« D'après Bienaymé-Tchebychev,</w:t>
      </w:r>
      <w:r>
        <w:t xml:space="preserve"> </w:t>
      </w:r>
      <m:oMath>
        <m:r>
          <m:t>P</m:t>
        </m:r>
        <m:r>
          <m:rPr>
            <m:sty m:val="p"/>
          </m:rPr>
          <m:t>≤</m:t>
        </m:r>
        <m:r>
          <m:t>0</m:t>
        </m:r>
        <m:r>
          <m:rPr>
            <m:sty m:val="p"/>
          </m:rPr>
          <m:t>,</m:t>
        </m:r>
        <m:r>
          <m:t>25</m:t>
        </m:r>
      </m:oMath>
      <w:r>
        <w:t xml:space="preserve">. »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est d'espérance</w:t>
      </w:r>
      <w:r>
        <w:t xml:space="preserve"> </w:t>
      </w:r>
      <m:oMath>
        <m:r>
          <m:t>μ</m:t>
        </m:r>
        <m:r>
          <m:rPr>
            <m:sty m:val="p"/>
          </m:rPr>
          <m:t>=</m:t>
        </m:r>
        <m:r>
          <m:t>50</m:t>
        </m:r>
      </m:oMath>
      <w:r>
        <w:t xml:space="preserve"> </w:t>
      </w:r>
      <w:r>
        <w:t xml:space="preserve">et de variance</w:t>
      </w:r>
      <w:r>
        <w:t xml:space="preserve"> </w:t>
      </w:r>
      <m:oMath>
        <m:r>
          <m:t>25</m:t>
        </m:r>
      </m:oMath>
      <w:r>
        <w:t xml:space="preserve">. D'après l'inégalité de Bienaymé-Tchebychev avec</w:t>
      </w:r>
      <w:r>
        <w:t xml:space="preserve"> </w:t>
      </w:r>
      <m:oMath>
        <m:r>
          <m:t>δ</m:t>
        </m:r>
        <m:r>
          <m:rPr>
            <m:sty m:val="p"/>
          </m:rPr>
          <m:t>=</m:t>
        </m:r>
        <m:r>
          <m:t>10</m:t>
        </m:r>
      </m:oMath>
      <w:r>
        <w:t xml:space="preserve">,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50</m:t>
                </m:r>
              </m:e>
            </m:d>
            <m:r>
              <m:rPr>
                <m:sty m:val="p"/>
              </m:rPr>
              <m:t>≥</m:t>
            </m:r>
            <m:r>
              <m:t>10</m:t>
            </m:r>
          </m:e>
        </m:d>
        <m:r>
          <m:rPr>
            <m:sty m:val="p"/>
          </m:rPr>
          <m:t>≤</m:t>
        </m:r>
        <m:f>
          <m:fPr>
            <m:type m:val="bar"/>
          </m:fPr>
          <m:num>
            <m:r>
              <m:t>25</m:t>
            </m:r>
          </m:num>
          <m:den>
            <m:sSup>
              <m:e>
                <m:r>
                  <m:t>10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25</m:t>
        </m:r>
      </m:oMath>
      <w:r>
        <w:t xml:space="preserve">. »</w:t>
      </w:r>
    </w:p>
    <w:p>
      <w:pPr>
        <w:pStyle w:val="BodyText"/>
      </w:pPr>
      <w:r>
        <w:rPr>
          <w:bCs/>
          <w:b/>
        </w:rPr>
        <w:t xml:space="preserve">c) Traduire un événement.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10</m:t>
            </m:r>
            <m:r>
              <m:rPr>
                <m:sty m:val="p"/>
              </m:rPr>
              <m:t>&lt;</m:t>
            </m:r>
            <m:r>
              <m:t>X</m:t>
            </m:r>
            <m:r>
              <m:rPr>
                <m:sty m:val="p"/>
              </m:rPr>
              <m:t>&lt;</m:t>
            </m:r>
            <m:r>
              <m:t>30</m:t>
            </m:r>
          </m:e>
        </m:d>
        <m:r>
          <m:rPr>
            <m:sty m:val="p"/>
          </m:rPr>
          <m:t>≤</m:t>
        </m:r>
        <m:r>
          <m:t>0</m:t>
        </m:r>
        <m:r>
          <m:rPr>
            <m:sty m:val="p"/>
          </m:rPr>
          <m:t>,</m:t>
        </m:r>
        <m:r>
          <m:t>192</m:t>
        </m:r>
      </m:oMath>
      <w:r>
        <w:t xml:space="preserve">. »</w:t>
      </w:r>
    </w:p>
    <w:p>
      <w:pPr>
        <w:pStyle w:val="BodyText"/>
      </w:pPr>
      <w:r>
        <w:t xml:space="preserve">«</w:t>
      </w:r>
      <w:r>
        <w:t xml:space="preserve"> </w:t>
      </w:r>
      <m:oMath>
        <m:r>
          <m:t>10</m:t>
        </m:r>
        <m:r>
          <m:rPr>
            <m:sty m:val="p"/>
          </m:rPr>
          <m:t>&lt;</m:t>
        </m:r>
        <m:r>
          <m:t>X</m:t>
        </m:r>
        <m:r>
          <m:rPr>
            <m:sty m:val="p"/>
          </m:rPr>
          <m:t>&lt;</m:t>
        </m:r>
        <m:r>
          <m:t>30</m:t>
        </m:r>
        <m:r>
          <m:rPr>
            <m:sty m:val="p"/>
          </m:rPr>
          <m:t>⇔</m:t>
        </m:r>
        <m:d>
          <m:dPr>
            <m:begChr m:val="|"/>
            <m:endChr m:val="|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20</m:t>
            </m:r>
          </m:e>
        </m:d>
        <m:r>
          <m:rPr>
            <m:sty m:val="p"/>
          </m:rPr>
          <m:t>&lt;</m:t>
        </m:r>
        <m:r>
          <m:t>10</m:t>
        </m:r>
      </m:oMath>
      <w:r>
        <w:t xml:space="preserve">. D'après l'inégalité,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20</m:t>
                </m:r>
              </m:e>
            </m:d>
            <m:r>
              <m:rPr>
                <m:sty m:val="p"/>
              </m:rPr>
              <m:t>≥</m:t>
            </m:r>
            <m:r>
              <m:t>10</m:t>
            </m:r>
          </m:e>
        </m:d>
        <m:r>
          <m:rPr>
            <m:sty m:val="p"/>
          </m:rPr>
          <m:t>≤</m:t>
        </m:r>
        <m:r>
          <m:t>0</m:t>
        </m:r>
        <m:r>
          <m:rPr>
            <m:sty m:val="p"/>
          </m:rPr>
          <m:t>,</m:t>
        </m:r>
        <m:r>
          <m:t>192</m:t>
        </m:r>
      </m:oMath>
      <w:r>
        <w:t xml:space="preserve">. Par événement contraire,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10</m:t>
            </m:r>
            <m:r>
              <m:rPr>
                <m:sty m:val="p"/>
              </m:rPr>
              <m:t>&lt;</m:t>
            </m:r>
            <m:r>
              <m:t>X</m:t>
            </m:r>
            <m:r>
              <m:rPr>
                <m:sty m:val="p"/>
              </m:rPr>
              <m:t>&lt;</m:t>
            </m:r>
            <m:r>
              <m:t>30</m:t>
            </m:r>
          </m:e>
        </m:d>
        <m:r>
          <m:rPr>
            <m:sty m:val="p"/>
          </m:rPr>
          <m:t>≥</m:t>
        </m:r>
        <m:r>
          <m:t>0</m:t>
        </m:r>
        <m:r>
          <m:rPr>
            <m:sty m:val="p"/>
          </m:rPr>
          <m:t>,</m:t>
        </m:r>
        <m:r>
          <m:t>808</m:t>
        </m:r>
      </m:oMath>
      <w:r>
        <w:t xml:space="preserve">. »</w:t>
      </w:r>
    </w:p>
    <w:p>
      <w:pPr>
        <w:pStyle w:val="BodyText"/>
      </w:pPr>
      <w:r>
        <w:t xml:space="preserve">La première a</w:t>
      </w:r>
      <w:r>
        <w:t xml:space="preserve"> </w:t>
      </w:r>
      <w:r>
        <w:rPr>
          <w:bCs/>
          <w:b/>
        </w:rPr>
        <w:t xml:space="preserve">inversé le sens</w:t>
      </w:r>
      <w:r>
        <w:t xml:space="preserve"> </w:t>
      </w:r>
      <w:r>
        <w:t xml:space="preserve">: la majoration porte sur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μ</m:t>
            </m:r>
          </m:e>
        </m:d>
        <m:r>
          <m:rPr>
            <m:sty m:val="p"/>
          </m:rPr>
          <m:t>≥</m:t>
        </m:r>
        <m:r>
          <m:t>δ</m:t>
        </m:r>
      </m:oMath>
      <w:r>
        <w:t xml:space="preserve">, pas sur</w:t>
      </w:r>
      <w:r>
        <w:t xml:space="preserve"> </w:t>
      </w:r>
      <m:oMath>
        <m:d>
          <m:dPr>
            <m:begChr m:val="|"/>
            <m:endChr m:val="|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μ</m:t>
            </m:r>
          </m:e>
        </m:d>
        <m:r>
          <m:rPr>
            <m:sty m:val="p"/>
          </m:rPr>
          <m:t>&lt;</m:t>
        </m:r>
        <m:r>
          <m:t>δ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d) Une conclusion.</w:t>
      </w:r>
    </w:p>
    <w:p>
      <w:pPr>
        <w:pStyle w:val="BodyText"/>
      </w:pPr>
      <w:r>
        <w:t xml:space="preserve">« La fréquence est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54</m:t>
        </m:r>
      </m:oMath>
      <w:r>
        <w:t xml:space="preserve">, donc la pièce est truquée. »</w:t>
      </w:r>
    </w:p>
    <w:p>
      <w:pPr>
        <w:pStyle w:val="BodyText"/>
      </w:pPr>
      <w:r>
        <w:t xml:space="preserve">« Si la pièce est équilibrée,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sSub>
                  <m:e>
                    <m:r>
                      <m:t>F</m:t>
                    </m:r>
                  </m:e>
                  <m:sub>
                    <m:r>
                      <m:t>n</m:t>
                    </m:r>
                  </m:sub>
                </m:sSub>
                <m:r>
                  <m:rPr>
                    <m:sty m:val="p"/>
                  </m:rPr>
                  <m:t>−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5</m:t>
                </m:r>
              </m:e>
            </m:d>
            <m:r>
              <m:rPr>
                <m:sty m:val="p"/>
              </m:rPr>
              <m:t>≥</m:t>
            </m:r>
            <m:r>
              <m:t>0</m:t>
            </m:r>
            <m:r>
              <m:rPr>
                <m:sty m:val="p"/>
              </m:rPr>
              <m:t>,</m:t>
            </m:r>
            <m:r>
              <m:t>04</m:t>
            </m:r>
          </m:e>
        </m:d>
        <m:r>
          <m:rPr>
            <m:sty m:val="p"/>
          </m:rPr>
          <m:t>≤</m:t>
        </m:r>
        <m:r>
          <m:t>0</m:t>
        </m:r>
        <m:r>
          <m:rPr>
            <m:sty m:val="p"/>
          </m:rPr>
          <m:t>,</m:t>
        </m:r>
        <m:r>
          <m:t>0156</m:t>
        </m:r>
      </m:oMath>
      <w:r>
        <w:t xml:space="preserve">. Il est donc raisonnable de douter de l'équilibre de la pièce. »</w:t>
      </w:r>
    </w:p>
    <w:bookmarkEnd w:id="21"/>
    <w:bookmarkStart w:id="22" w:name="X7b628f7e3c65b135ea82b42a33447b000fca77c"/>
    <w:p>
      <w:pPr>
        <w:pStyle w:val="Heading3"/>
      </w:pPr>
      <w:r>
        <w:t xml:space="preserve">3. Les erreurs de rédaction propres à ce chapitre</w:t>
      </w:r>
    </w:p>
    <w:p>
      <w:pPr>
        <w:numPr>
          <w:ilvl w:val="0"/>
          <w:numId w:val="1002"/>
        </w:numPr>
        <w:pStyle w:val="Compact"/>
      </w:pPr>
      <w:r>
        <w:t xml:space="preserve">Additionner des</w:t>
      </w:r>
      <w:r>
        <w:t xml:space="preserve"> </w:t>
      </w:r>
      <w:r>
        <w:rPr>
          <w:bCs/>
          <w:b/>
        </w:rPr>
        <w:t xml:space="preserve">variances sans avoir justifié l'indépendance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Additionner les</w:t>
      </w:r>
      <w:r>
        <w:t xml:space="preserve"> </w:t>
      </w:r>
      <w:r>
        <w:rPr>
          <w:bCs/>
          <w:b/>
        </w:rPr>
        <w:t xml:space="preserve">écarts-types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Écrire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X</m:t>
            </m:r>
            <m:r>
              <m:rPr>
                <m:sty m:val="p"/>
              </m:rPr>
              <m:t>+</m:t>
            </m:r>
            <m:r>
              <m:t>b</m:t>
            </m:r>
          </m:e>
        </m:d>
        <m:r>
          <m:rPr>
            <m:sty m:val="p"/>
          </m:rPr>
          <m:t>=</m:t>
        </m:r>
        <m:r>
          <m:t>a</m:t>
        </m:r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+</m:t>
        </m:r>
        <m:r>
          <m:t>b</m:t>
        </m:r>
      </m:oMath>
      <w:r>
        <w:t xml:space="preserve"> </w:t>
      </w:r>
      <w:r>
        <w:t xml:space="preserve">ou oublier la</w:t>
      </w:r>
      <w:r>
        <w:t xml:space="preserve"> </w:t>
      </w:r>
      <w:r>
        <w:rPr>
          <w:bCs/>
          <w:b/>
        </w:rPr>
        <w:t xml:space="preserve">valeur absolue</w:t>
      </w:r>
      <w:r>
        <w:t xml:space="preserve"> </w:t>
      </w:r>
      <w:r>
        <w:t xml:space="preserve">dans</w:t>
      </w:r>
      <w:r>
        <w:t xml:space="preserve"> </w:t>
      </w:r>
      <m:oMath>
        <m:r>
          <m:t>σ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X</m:t>
            </m:r>
          </m:e>
        </m:d>
      </m:oMath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Appliquer Bienaymé-Tchebychev</w:t>
      </w:r>
      <w:r>
        <w:t xml:space="preserve"> </w:t>
      </w:r>
      <w:r>
        <w:rPr>
          <w:bCs/>
          <w:b/>
        </w:rPr>
        <w:t xml:space="preserve">sans écrire</w:t>
      </w:r>
      <w:r>
        <w:t xml:space="preserve"> </w:t>
      </w:r>
      <m:oMath>
        <m:r>
          <m:t>μ</m:t>
        </m:r>
      </m:oMath>
      <w:r>
        <w:t xml:space="preserve">,</w:t>
      </w:r>
      <w:r>
        <w:t xml:space="preserve"> </w:t>
      </w:r>
      <m:oMath>
        <m:r>
          <m:t>V</m:t>
        </m:r>
      </m:oMath>
      <w:r>
        <w:t xml:space="preserve">,</w:t>
      </w:r>
      <w:r>
        <w:t xml:space="preserve"> </w:t>
      </w:r>
      <m:oMath>
        <m:r>
          <m:t>δ</m:t>
        </m:r>
      </m:oMath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Inverser le sens</w:t>
      </w:r>
      <w:r>
        <w:t xml:space="preserve"> </w:t>
      </w:r>
      <w:r>
        <w:t xml:space="preserve">: minorer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d>
              <m:dPr>
                <m:begChr m:val="|"/>
                <m:endChr m:val="|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μ</m:t>
                </m:r>
              </m:e>
            </m:d>
            <m:r>
              <m:rPr>
                <m:sty m:val="p"/>
              </m:rPr>
              <m:t>≥</m:t>
            </m:r>
            <m:r>
              <m:t>δ</m:t>
            </m:r>
          </m:e>
        </m:d>
      </m:oMath>
      <w:r>
        <w:t xml:space="preserve"> </w:t>
      </w:r>
      <w:r>
        <w:t xml:space="preserve">au lieu de la majorer.</w:t>
      </w:r>
    </w:p>
    <w:p>
      <w:pPr>
        <w:numPr>
          <w:ilvl w:val="0"/>
          <w:numId w:val="1002"/>
        </w:numPr>
        <w:pStyle w:val="Compact"/>
      </w:pPr>
      <w:r>
        <w:t xml:space="preserve">Oublier de</w:t>
      </w:r>
      <w:r>
        <w:t xml:space="preserve"> </w:t>
      </w:r>
      <w:r>
        <w:rPr>
          <w:bCs/>
          <w:b/>
        </w:rPr>
        <w:t xml:space="preserve">traduire</w:t>
      </w:r>
      <w:r>
        <w:t xml:space="preserve"> </w:t>
      </w:r>
      <w:r>
        <w:t xml:space="preserve">l'événement en valeur absolue.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Arrondir à l'entier inférieur</w:t>
      </w:r>
      <w:r>
        <w:t xml:space="preserve"> </w:t>
      </w:r>
      <w:r>
        <w:t xml:space="preserve">un seuil de taille d'échantillon.</w:t>
      </w:r>
    </w:p>
    <w:p>
      <w:pPr>
        <w:numPr>
          <w:ilvl w:val="0"/>
          <w:numId w:val="1002"/>
        </w:numPr>
        <w:pStyle w:val="Compact"/>
      </w:pPr>
      <w:r>
        <w:t xml:space="preserve">Conclure avec</w:t>
      </w:r>
      <w:r>
        <w:t xml:space="preserve"> </w:t>
      </w:r>
      <w:r>
        <w:rPr>
          <w:bCs/>
          <w:b/>
        </w:rPr>
        <w:t xml:space="preserve">certitude</w:t>
      </w:r>
      <w:r>
        <w:t xml:space="preserve"> </w:t>
      </w:r>
      <w:r>
        <w:t xml:space="preserve">à partir d'une majoration.</w:t>
      </w:r>
    </w:p>
    <w:bookmarkEnd w:id="22"/>
    <w:bookmarkStart w:id="23" w:name="la-check-list-du-chapitre"/>
    <w:p>
      <w:pPr>
        <w:pStyle w:val="Heading3"/>
      </w:pPr>
      <w:r>
        <w:t xml:space="preserve">4. La check-list du chapitre</w:t>
      </w:r>
    </w:p>
    <w:p>
      <w:pPr>
        <w:numPr>
          <w:ilvl w:val="0"/>
          <w:numId w:val="1003"/>
        </w:numPr>
        <w:pStyle w:val="Compact"/>
      </w:pPr>
      <w:r>
        <w:t xml:space="preserve">J'ai écrit</w:t>
      </w:r>
      <w:r>
        <w:t xml:space="preserve"> </w:t>
      </w:r>
      <m:oMath>
        <m:r>
          <m:t>E</m:t>
        </m:r>
      </m:oMath>
      <w:r>
        <w:rPr>
          <w:bCs/>
          <w:b/>
        </w:rPr>
        <w:t xml:space="preserve">,</w:t>
      </w:r>
      <w:r>
        <w:rPr>
          <w:bCs/>
          <w:b/>
        </w:rPr>
        <w:t xml:space="preserve"> </w:t>
      </w:r>
      <m:oMath>
        <m:r>
          <m:t>V</m:t>
        </m:r>
      </m:oMath>
      <w:r>
        <w:rPr>
          <w:bCs/>
          <w:b/>
        </w:rPr>
        <w:t xml:space="preserve">,</w:t>
      </w:r>
      <w:r>
        <w:rPr>
          <w:bCs/>
          <w:b/>
        </w:rPr>
        <w:t xml:space="preserve"> </w:t>
      </w:r>
      <m:oMath>
        <m:r>
          <m:t>σ</m:t>
        </m:r>
      </m:oMath>
      <w:r>
        <w:t xml:space="preserve"> </w:t>
      </w:r>
      <w:r>
        <w:t xml:space="preserve">de chaque variable utilisée.</w:t>
      </w:r>
    </w:p>
    <w:p>
      <w:pPr>
        <w:numPr>
          <w:ilvl w:val="0"/>
          <w:numId w:val="1003"/>
        </w:numPr>
        <w:pStyle w:val="Compact"/>
      </w:pPr>
      <w:r>
        <w:t xml:space="preserve">J'ai</w:t>
      </w:r>
      <w:r>
        <w:t xml:space="preserve"> </w:t>
      </w:r>
      <w:r>
        <w:rPr>
          <w:bCs/>
          <w:b/>
        </w:rPr>
        <w:t xml:space="preserve">justifié l'indépendance</w:t>
      </w:r>
      <w:r>
        <w:t xml:space="preserve"> </w:t>
      </w:r>
      <w:r>
        <w:t xml:space="preserve">avant d'additionner des variances.</w:t>
      </w:r>
    </w:p>
    <w:p>
      <w:pPr>
        <w:numPr>
          <w:ilvl w:val="0"/>
          <w:numId w:val="1003"/>
        </w:numPr>
        <w:pStyle w:val="Compact"/>
      </w:pPr>
      <w:r>
        <w:t xml:space="preserve">Je n'ai jamais additionné d'</w:t>
      </w:r>
      <w:r>
        <w:rPr>
          <w:bCs/>
          <w:b/>
        </w:rPr>
        <w:t xml:space="preserve">écarts-types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Dans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X</m:t>
            </m:r>
            <m:r>
              <m:rPr>
                <m:sty m:val="p"/>
              </m:rPr>
              <m:t>+</m:t>
            </m:r>
            <m:r>
              <m:t>b</m:t>
            </m:r>
          </m:e>
        </m:d>
      </m:oMath>
      <w:r>
        <w:t xml:space="preserve">, j'ai mis</w:t>
      </w:r>
      <w:r>
        <w:t xml:space="preserve"> </w:t>
      </w:r>
      <m:oMath>
        <m:r>
          <m:t>a</m:t>
        </m:r>
      </m:oMath>
      <w:r>
        <w:t xml:space="preserve"> </w:t>
      </w:r>
      <w:r>
        <w:rPr>
          <w:bCs/>
          <w:b/>
        </w:rPr>
        <w:t xml:space="preserve">au carré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J'ai écrit</w:t>
      </w:r>
      <w:r>
        <w:t xml:space="preserve"> </w:t>
      </w:r>
      <m:oMath>
        <m:r>
          <m:t>μ</m:t>
        </m:r>
      </m:oMath>
      <w:r>
        <w:rPr>
          <w:bCs/>
          <w:b/>
        </w:rPr>
        <w:t xml:space="preserve">,</w:t>
      </w:r>
      <w:r>
        <w:rPr>
          <w:bCs/>
          <w:b/>
        </w:rPr>
        <w:t xml:space="preserve"> </w:t>
      </w:r>
      <m:oMath>
        <m:r>
          <m:t>V</m:t>
        </m:r>
      </m:oMath>
      <w:r>
        <w:rPr>
          <w:bCs/>
          <w:b/>
        </w:rPr>
        <w:t xml:space="preserve">,</w:t>
      </w:r>
      <w:r>
        <w:rPr>
          <w:bCs/>
          <w:b/>
        </w:rPr>
        <w:t xml:space="preserve"> </w:t>
      </w:r>
      <m:oMath>
        <m:r>
          <m:t>δ</m:t>
        </m:r>
      </m:oMath>
      <w:r>
        <w:t xml:space="preserve"> </w:t>
      </w:r>
      <w:r>
        <w:t xml:space="preserve">avant d'appliquer Bienaymé-Tchebychev.</w:t>
      </w:r>
    </w:p>
    <w:p>
      <w:pPr>
        <w:numPr>
          <w:ilvl w:val="0"/>
          <w:numId w:val="1003"/>
        </w:numPr>
        <w:pStyle w:val="Compact"/>
      </w:pPr>
      <w:r>
        <w:t xml:space="preserve">J'ai</w:t>
      </w:r>
      <w:r>
        <w:t xml:space="preserve"> </w:t>
      </w:r>
      <w:r>
        <w:rPr>
          <w:bCs/>
          <w:b/>
        </w:rPr>
        <w:t xml:space="preserve">traduit l'événement</w:t>
      </w:r>
      <w:r>
        <w:t xml:space="preserve"> </w:t>
      </w:r>
      <w:r>
        <w:t xml:space="preserve">en valeur absolue, puis utilisé l'</w:t>
      </w:r>
      <w:r>
        <w:rPr>
          <w:bCs/>
          <w:b/>
        </w:rPr>
        <w:t xml:space="preserve">événement contraire</w:t>
      </w:r>
      <w:r>
        <w:t xml:space="preserve"> </w:t>
      </w:r>
      <w:r>
        <w:t xml:space="preserve">si besoin.</w:t>
      </w:r>
    </w:p>
    <w:p>
      <w:pPr>
        <w:numPr>
          <w:ilvl w:val="0"/>
          <w:numId w:val="1003"/>
        </w:numPr>
        <w:pStyle w:val="Compact"/>
      </w:pPr>
      <w:r>
        <w:t xml:space="preserve">Pour un échantillon, j'ai utilisé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F</m:t>
                </m:r>
              </m:e>
              <m:sub>
                <m:r>
                  <m:t>n</m:t>
                </m:r>
              </m:sub>
            </m:sSub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t>p</m:t>
                </m:r>
              </m:e>
            </m:d>
          </m:num>
          <m:den>
            <m:r>
              <m:t>n</m:t>
            </m:r>
          </m:den>
        </m:f>
        <m:r>
          <m:rPr>
            <m:sty m:val="p"/>
          </m:rPr>
          <m:t>≤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  <m:r>
              <m:t>n</m:t>
            </m:r>
          </m:den>
        </m:f>
      </m:oMath>
      <w:r>
        <w:t xml:space="preserve"> </w:t>
      </w:r>
      <w:r>
        <w:t xml:space="preserve">et arrondi à l'</w:t>
      </w:r>
      <w:r>
        <w:rPr>
          <w:bCs/>
          <w:b/>
        </w:rPr>
        <w:t xml:space="preserve">entier supérieur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Ma</w:t>
      </w:r>
      <w:r>
        <w:t xml:space="preserve"> </w:t>
      </w:r>
      <w:r>
        <w:rPr>
          <w:bCs/>
          <w:b/>
        </w:rPr>
        <w:t xml:space="preserve">conclusion est nuancée</w:t>
      </w:r>
      <w:r>
        <w:t xml:space="preserve"> </w:t>
      </w:r>
      <w:r>
        <w:t xml:space="preserve">: une garantie, pas une certitude.</w:t>
      </w:r>
    </w:p>
    <w:p>
      <w:pPr>
        <w:pStyle w:val="FirstParagraph"/>
      </w:pPr>
      <w:r>
        <w:t xml:space="preserve">Le dernier mot de ce cours : la loi des grands nombres ne te promet pas d'avoir de la chance, elle te promet que, sur la durée, ta chance se dilue. C'est aussi vrai des exercices de probabilités : plus tu en fais, plus le résultat de ton bac se rapproche de ce que tu vaux.</w:t>
      </w:r>
    </w:p>
    <w:p>
      <w:pPr>
        <w:pStyle w:val="BodyText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Guide de rédaction : sommes de variables aléatoires et concentration</dc:title>
  <dc:creator>Antoine Boutin, plusquunprof.com</dc:creator>
  <dc:language>fr</dc:language>
  <cp:keywords/>
  <dcterms:created xsi:type="dcterms:W3CDTF">2026-10-08T18:22:21Z</dcterms:created>
  <dcterms:modified xsi:type="dcterms:W3CDTF">2026-10-08T18:22:21Z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