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32.png" ContentType="image/png"/>
  <Override PartName="/word/media/rId36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Produit scalaire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Quand pousse-t-on une caisse avec le plus d'efficacité : en poussant droit devant, ou de travers ? En physique, le</w:t>
      </w:r>
      <w:r>
        <w:t xml:space="preserve"> </w:t>
      </w:r>
      <w:r>
        <w:rPr>
          <w:bCs/>
          <w:b/>
        </w:rPr>
        <w:t xml:space="preserve">travail d'une force</w:t>
      </w:r>
      <w:r>
        <w:t xml:space="preserve"> </w:t>
      </w:r>
      <w:r>
        <w:t xml:space="preserve">se calcule avec un produit scalaire.</w:t>
      </w:r>
    </w:p>
    <w:p>
      <w:pPr>
        <w:pStyle w:val="BodyText"/>
      </w:pPr>
      <w:r>
        <w:t xml:space="preserve">En maths, le produit scalaire de deux vecteurs est un</w:t>
      </w:r>
      <w:r>
        <w:t xml:space="preserve"> </w:t>
      </w:r>
      <w:r>
        <w:rPr>
          <w:bCs/>
          <w:b/>
        </w:rPr>
        <w:t xml:space="preserve">nombre</w:t>
      </w:r>
      <w:r>
        <w:t xml:space="preserve"> </w:t>
      </w:r>
      <w:r>
        <w:t xml:space="preserve">qui mesure à quel point deux vecteurs « vont dans la même direction ». Il sert à</w:t>
      </w:r>
      <w:r>
        <w:t xml:space="preserve"> </w:t>
      </w:r>
      <w:r>
        <w:rPr>
          <w:bCs/>
          <w:b/>
        </w:rPr>
        <w:t xml:space="preserve">calculer des angles</w:t>
      </w:r>
      <w:r>
        <w:t xml:space="preserve">, à</w:t>
      </w:r>
      <w:r>
        <w:t xml:space="preserve"> </w:t>
      </w:r>
      <w:r>
        <w:rPr>
          <w:bCs/>
          <w:b/>
        </w:rPr>
        <w:t xml:space="preserve">prouver que deux droites sont perpendiculaires</w:t>
      </w:r>
      <w:r>
        <w:t xml:space="preserve"> </w:t>
      </w:r>
      <w:r>
        <w:t xml:space="preserve">et à</w:t>
      </w:r>
      <w:r>
        <w:t xml:space="preserve"> </w:t>
      </w:r>
      <w:r>
        <w:rPr>
          <w:bCs/>
          <w:b/>
        </w:rPr>
        <w:t xml:space="preserve">calculer des longueurs</w:t>
      </w:r>
      <w:r>
        <w:t xml:space="preserve"> </w:t>
      </w:r>
      <w:r>
        <w:t xml:space="preserve">dans un triangle.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Retiens le fil rouge :</w:t>
      </w:r>
      <w:r>
        <w:t xml:space="preserve"> </w:t>
      </w:r>
      <w:r>
        <w:rPr>
          <w:bCs/>
          <w:b/>
        </w:rPr>
        <w:t xml:space="preserve">le produit scalaire est un nombre, pas un vecteur</w:t>
      </w:r>
      <w:r>
        <w:t xml:space="preserve">. Il est nul si et seulement si les vecteurs sont</w:t>
      </w:r>
      <w:r>
        <w:t xml:space="preserve"> </w:t>
      </w:r>
      <w:r>
        <w:rPr>
          <w:bCs/>
          <w:b/>
        </w:rPr>
        <w:t xml:space="preserve">orthogonaux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Retiens les</w:t>
      </w:r>
      <w:r>
        <w:t xml:space="preserve"> </w:t>
      </w:r>
      <w:r>
        <w:rPr>
          <w:bCs/>
          <w:b/>
        </w:rPr>
        <w:t xml:space="preserve">quatre façons de le calculer</w:t>
      </w:r>
      <w:r>
        <w:t xml:space="preserve"> </w:t>
      </w:r>
      <w:r>
        <w:t xml:space="preserve">: avec le projeté orthogonal, avec les normes et l'angle, avec les coordonnées, avec les normes seules. On choisit la plus pratique.</w:t>
      </w:r>
    </w:p>
    <w:bookmarkStart w:id="29" w:name="Xc083002eeebe529b900a9f797990d49f113c2b1"/>
    <w:p>
      <w:pPr>
        <w:pStyle w:val="Heading3"/>
      </w:pPr>
      <w:r>
        <w:t xml:space="preserve">1. Produit scalaire : projection orthogonale et cosinus</w:t>
      </w:r>
    </w:p>
    <w:p>
      <w:pPr>
        <w:pStyle w:val="FirstParagraph"/>
      </w:pPr>
      <w:r>
        <w:t xml:space="preserve">Prends deux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du plan. On choisit des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 On note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</w:t>
      </w:r>
      <w:r>
        <w:t xml:space="preserve"> </w:t>
      </w:r>
      <w:r>
        <w:rPr>
          <w:bCs/>
          <w:b/>
        </w:rPr>
        <w:t xml:space="preserve">projeté orthogonal</w:t>
      </w:r>
      <w:r>
        <w:t xml:space="preserve"> </w:t>
      </w:r>
      <w:r>
        <w:t xml:space="preserve">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 c'est le pied de la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passant par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Définition (avec le projeté orthogonal).</w:t>
      </w:r>
      <w:r>
        <w:t xml:space="preserve"> </w:t>
      </w:r>
      <w:r>
        <w:t xml:space="preserve">Le</w:t>
      </w:r>
      <w:r>
        <w:t xml:space="preserve"> </w:t>
      </w:r>
      <w:r>
        <w:rPr>
          <w:bCs/>
          <w:b/>
        </w:rPr>
        <w:t xml:space="preserve">produit scalaire</w:t>
      </w:r>
      <w:r>
        <w:t xml:space="preserve"> </w:t>
      </w:r>
      <w:r>
        <w:t xml:space="preserve">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 le nombre réel noté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défini par :</w:t>
      </w:r>
    </w:p>
    <w:p>
      <w:pPr>
        <w:numPr>
          <w:ilvl w:val="0"/>
          <w:numId w:val="1002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+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sont de</w:t>
      </w:r>
      <w:r>
        <w:t xml:space="preserve"> </w:t>
      </w:r>
      <w:r>
        <w:rPr>
          <w:bCs/>
          <w:b/>
        </w:rPr>
        <w:t xml:space="preserve">même sens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sont de</w:t>
      </w:r>
      <w:r>
        <w:t xml:space="preserve"> </w:t>
      </w:r>
      <w:r>
        <w:rPr>
          <w:bCs/>
          <w:b/>
        </w:rPr>
        <w:t xml:space="preserve">sens contraires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</m:oMath>
      <w:r>
        <w:t xml:space="preserve">. Si l'un des vecteurs est nul, le produit scalaire est aussi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FirstParagraph"/>
      </w:pPr>
      <w:r>
        <w:t xml:space="preserve">Ce nombre ne dépend pas du choix du point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on l'admet.</w:t>
      </w:r>
    </w:p>
    <w:p>
      <w:pPr>
        <w:pStyle w:val="CaptionedFigure"/>
      </w:pPr>
      <w:r>
        <w:drawing>
          <wp:inline>
            <wp:extent cx="3810000" cy="2638425"/>
            <wp:effectExtent b="0" l="0" r="0" t="0"/>
            <wp:docPr descr="Angle aigu : H est du même côté que B, donc AB · AC = + AB × AH" title="" id="21" name="Picture"/>
            <a:graphic>
              <a:graphicData uri="http://schemas.openxmlformats.org/drawingml/2006/picture">
                <pic:pic>
                  <pic:nvPicPr>
                    <pic:cNvPr descr="figs/fig2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Angle aigu : H est du même côté que B, donc AB · AC = + AB × AH</w:t>
      </w:r>
    </w:p>
    <w:p>
      <w:pPr>
        <w:pStyle w:val="CaptionedFigure"/>
      </w:pPr>
      <w:r>
        <w:drawing>
          <wp:inline>
            <wp:extent cx="3810000" cy="2047875"/>
            <wp:effectExtent b="0" l="0" r="0" t="0"/>
            <wp:docPr descr="Angle obtus : H est de l’autre côté de A, donc AB · AC = − AB × AH" title="" id="24" name="Picture"/>
            <a:graphic>
              <a:graphicData uri="http://schemas.openxmlformats.org/drawingml/2006/picture">
                <pic:pic>
                  <pic:nvPicPr>
                    <pic:cNvPr descr="figs/fig2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Angle obtus : H est de l’autre côté de A, donc AB · AC = − AB × AH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t>2</m:t>
        </m:r>
      </m:oMath>
      <w:r>
        <w:t xml:space="preserve">. Si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du même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10</m:t>
        </m:r>
      </m:oMath>
      <w:r>
        <w:t xml:space="preserve">. Si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de l'autre côté de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Propriété (avec le cosinus).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sont non nuls et si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 l'angle géométrique entre les deux vecteurs (</w:t>
      </w:r>
      <m:oMath>
        <m:r>
          <m:t>0</m:t>
        </m:r>
        <m:r>
          <m:rPr>
            <m:sty m:val="p"/>
          </m:rPr>
          <m:t>°</m:t>
        </m:r>
        <m:r>
          <m:rPr>
            <m:sty m:val="p"/>
          </m:rPr>
          <m:t>≤</m:t>
        </m:r>
        <m:r>
          <m:t>θ</m:t>
        </m:r>
        <m:r>
          <m:rPr>
            <m:sty m:val="p"/>
          </m:rPr>
          <m:t>≤</m:t>
        </m:r>
        <m:r>
          <m:t>180</m:t>
        </m:r>
        <m:r>
          <m:rPr>
            <m:sty m:val="p"/>
          </m:rPr>
          <m:t>°</m:t>
        </m:r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d>
            <m:dPr>
              <m:begChr m:val="∥"/>
              <m:endChr m:val="∥"/>
              <m:sepChr m:val=""/>
              <m:grow/>
            </m:dPr>
            <m:e>
              <m:acc>
                <m:accPr>
                  <m:chr m:val="⃗"/>
                </m:accPr>
                <m:e>
                  <m:r>
                    <m:t>u</m:t>
                  </m:r>
                </m:e>
              </m:acc>
            </m:e>
          </m:d>
          <m:r>
            <m:rPr>
              <m:sty m:val="p"/>
            </m:rPr>
            <m:t>×</m:t>
          </m:r>
          <m:d>
            <m:dPr>
              <m:begChr m:val="∥"/>
              <m:endChr m:val="∥"/>
              <m:sepChr m:val=""/>
              <m:grow/>
            </m:dPr>
            <m:e>
              <m:acc>
                <m:accPr>
                  <m:chr m:val="⃗"/>
                </m:accPr>
                <m:e>
                  <m:r>
                    <m:t>v</m:t>
                  </m:r>
                </m:e>
              </m:acc>
            </m:e>
          </m:d>
          <m:r>
            <m:rPr>
              <m:sty m:val="p"/>
            </m:rPr>
            <m:t>×</m:t>
          </m:r>
          <m:r>
            <m:rPr>
              <m:sty m:val="p"/>
            </m:rPr>
            <m:t>cos</m:t>
          </m:r>
          <m:r>
            <m:t>θ</m:t>
          </m:r>
        </m:oMath>
      </m:oMathPara>
    </w:p>
    <w:p>
      <w:pPr>
        <w:pStyle w:val="FirstParagraph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Si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aigu</w:t>
      </w:r>
      <w:r>
        <w:t xml:space="preserve">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du même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et, 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cos</m:t>
        </m:r>
        <m:r>
          <m:t>θ</m:t>
        </m:r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θ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obtus</w:t>
      </w:r>
      <w:r>
        <w:t xml:space="preserve">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de l'autre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180</m:t>
            </m:r>
            <m:r>
              <m:rPr>
                <m:sty m:val="p"/>
              </m:rPr>
              <m:t>°</m:t>
            </m:r>
            <m:r>
              <m:rPr>
                <m:sty m:val="p"/>
              </m:rPr>
              <m:t>−</m:t>
            </m:r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t>C</m:t>
        </m:r>
        <m:r>
          <m:rPr>
            <m:sty m:val="p"/>
          </m:rPr>
          <m:t>cos</m:t>
        </m:r>
        <m:r>
          <m:t>θ</m:t>
        </m:r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θ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90</m:t>
        </m:r>
        <m:r>
          <m:rPr>
            <m:sty m:val="p"/>
          </m:rPr>
          <m:t>°</m:t>
        </m:r>
      </m:oMath>
      <w:r>
        <w:t xml:space="preserve">, alors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et les deux membres valent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CaptionedFigure"/>
      </w:pPr>
      <w:r>
        <w:drawing>
          <wp:inline>
            <wp:extent cx="3619500" cy="3400425"/>
            <wp:effectExtent b="0" l="0" r="0" t="0"/>
            <wp:docPr descr="Deux vecteurs u et v et leur angle θ : u · v = ‖u‖ ‖v‖ cos θ" title="" id="27" name="Picture"/>
            <a:graphic>
              <a:graphicData uri="http://schemas.openxmlformats.org/drawingml/2006/picture">
                <pic:pic>
                  <pic:nvPicPr>
                    <pic:cNvPr descr="figs/fig4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Deux vecteurs u et v et leur angle θ : u · v = ‖u‖ ‖v‖ cos θ</w:t>
      </w:r>
    </w:p>
    <w:p>
      <w:pPr>
        <w:pStyle w:val="BodyText"/>
      </w:pPr>
      <w:r>
        <w:rPr>
          <w:bCs/>
          <w:b/>
        </w:rPr>
        <w:t xml:space="preserve">Cas particuliers.</w:t>
      </w:r>
    </w:p>
    <w:p>
      <w:pPr>
        <w:numPr>
          <w:ilvl w:val="0"/>
          <w:numId w:val="1003"/>
        </w:numPr>
        <w:pStyle w:val="Compac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colinéaires de même sens</w:t>
      </w:r>
      <w:r>
        <w:t xml:space="preserve"> </w:t>
      </w:r>
      <w:r>
        <w:t xml:space="preserve">(</w:t>
      </w:r>
      <m:oMath>
        <m:r>
          <m:t>θ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°</m:t>
        </m:r>
      </m:oMath>
      <w:r>
        <w:t xml:space="preserve">)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colinéaires de sens contraires</w:t>
      </w:r>
      <w:r>
        <w:t xml:space="preserve"> </w:t>
      </w:r>
      <w:r>
        <w:t xml:space="preserve">(</w:t>
      </w:r>
      <m:oMath>
        <m:r>
          <m:t>θ</m:t>
        </m:r>
        <m:r>
          <m:rPr>
            <m:sty m:val="p"/>
          </m:rPr>
          <m:t>=</m:t>
        </m:r>
        <m:r>
          <m:t>180</m:t>
        </m:r>
        <m:r>
          <m:rPr>
            <m:sty m:val="p"/>
          </m:rPr>
          <m:t>°</m:t>
        </m:r>
      </m:oMath>
      <w:r>
        <w:t xml:space="preserve">)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orthogonaux</w:t>
      </w:r>
      <w:r>
        <w:t xml:space="preserve"> </w:t>
      </w:r>
      <w:r>
        <w:t xml:space="preserve">(</w:t>
      </w:r>
      <m:oMath>
        <m:r>
          <m:t>θ</m:t>
        </m:r>
        <m:r>
          <m:rPr>
            <m:sty m:val="p"/>
          </m:rPr>
          <m:t>=</m:t>
        </m:r>
        <m:r>
          <m:t>90</m:t>
        </m:r>
        <m:r>
          <m:rPr>
            <m:sty m:val="p"/>
          </m:rPr>
          <m:t>°</m:t>
        </m:r>
      </m:oMath>
      <w:r>
        <w:t xml:space="preserve">)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, noté</w:t>
      </w:r>
      <w:r>
        <w:t xml:space="preserve"> </w:t>
      </w:r>
      <m:oMath>
        <m:sSup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</m:oMath>
      <w:r>
        <w:t xml:space="preserve"> </w:t>
      </w:r>
      <w:r>
        <w:t xml:space="preserve">(le</w:t>
      </w:r>
      <w:r>
        <w:t xml:space="preserve"> </w:t>
      </w:r>
      <w:r>
        <w:rPr>
          <w:bCs/>
          <w:b/>
        </w:rPr>
        <w:t xml:space="preserve">carré scalaire</w:t>
      </w:r>
      <w:r>
        <w:t xml:space="preserve">).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60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Propriété (caractérisation de l'orthogonalité).</w:t>
      </w:r>
      <w:r>
        <w:t xml:space="preserve"> </w:t>
      </w:r>
      <w:r>
        <w:t xml:space="preserve">Deux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orthogonaux</w:t>
      </w:r>
      <w:r>
        <w:t xml:space="preserve"> </w:t>
      </w:r>
      <w:r>
        <w:t xml:space="preserve">si et seulement 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On convient que le vecteur nul est orthogonal à tout vecteur : c'est cohérent 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0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 non nuls,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≠</m:t>
        </m:r>
        <m:r>
          <m:t>0</m:t>
        </m:r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θ</m:t>
        </m:r>
        <m:r>
          <m:rPr>
            <m:sty m:val="p"/>
          </m:rPr>
          <m:t>=</m:t>
        </m:r>
        <m:r>
          <m:t>90</m:t>
        </m:r>
        <m:r>
          <m:rPr>
            <m:sty m:val="p"/>
          </m:rPr>
          <m:t>°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4"/>
        </w:numPr>
        <w:pStyle w:val="Compact"/>
      </w:pPr>
      <w:r>
        <w:t xml:space="preserve">Le produit scalaire est un</w:t>
      </w:r>
      <w:r>
        <w:t xml:space="preserve"> </w:t>
      </w:r>
      <w:r>
        <w:rPr>
          <w:bCs/>
          <w:b/>
        </w:rPr>
        <w:t xml:space="preserve">nombre</w:t>
      </w:r>
      <w:r>
        <w:t xml:space="preserve"> </w:t>
      </w:r>
      <w:r>
        <w:t xml:space="preserve">: n'écris jamais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…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…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: si l'angle est obtus,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 le produit scalaire est</w:t>
      </w:r>
      <w:r>
        <w:t xml:space="preserve"> </w:t>
      </w:r>
      <w:r>
        <w:rPr>
          <w:bCs/>
          <w:b/>
        </w:rPr>
        <w:t xml:space="preserve">négatif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Pour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l'angle à utiliser est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(avec les deux vecteurs qui</w:t>
      </w:r>
      <w:r>
        <w:t xml:space="preserve"> </w:t>
      </w:r>
      <w:r>
        <w:rPr>
          <w:bCs/>
          <w:b/>
        </w:rPr>
        <w:t xml:space="preserve">partent du même point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).</w:t>
      </w:r>
    </w:p>
    <w:p>
      <w:pPr>
        <w:pStyle w:val="FirstParagraph"/>
      </w:pP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et répondre par un vecteur, c'est répondre « oui » à la question « quelle heure est-il ? ».</w:t>
      </w:r>
    </w:p>
    <w:bookmarkEnd w:id="29"/>
    <w:bookmarkStart w:id="30" w:name="propriétés-normes-et-coordonnées"/>
    <w:p>
      <w:pPr>
        <w:pStyle w:val="Heading3"/>
      </w:pPr>
      <w:r>
        <w:t xml:space="preserve">2. Propriétés, normes et coordonnées</w:t>
      </w:r>
    </w:p>
    <w:p>
      <w:pPr>
        <w:pStyle w:val="FirstParagraph"/>
      </w:pPr>
      <w:r>
        <w:rPr>
          <w:bCs/>
          <w:b/>
        </w:rPr>
        <w:t xml:space="preserve">Propriétés.</w:t>
      </w:r>
      <w:r>
        <w:t xml:space="preserve"> </w:t>
      </w:r>
      <w:r>
        <w:t xml:space="preserve">Pour tous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et tout réel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symétrie</w:t>
      </w:r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bilinéarité</w:t>
      </w:r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</m:e>
        </m:d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k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carré scalaire</w:t>
      </w:r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La symétrie se lit sur la formule avec le cosinus. La bilinéarité est admise : l'idée est que le projeté orthogonal d'une somme de vecteurs est la somme des projetés, et que multiplier un vecteur par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multiplie son projeté par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Développement de</w:t>
      </w:r>
      <w:r>
        <w:rPr>
          <w:bCs/>
          <w:b/>
        </w:rP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rPr>
          <w:bCs/>
          <w:b/>
        </w:rPr>
        <w:t xml:space="preserve">.</w:t>
      </w:r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6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Par bilinéarité et symétrie :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 Les deux autres se démontrent de la même façon.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En isolant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, on obtient le calcul</w:t>
      </w:r>
      <w:r>
        <w:t xml:space="preserve"> </w:t>
      </w:r>
      <w:r>
        <w:rPr>
          <w:bCs/>
          <w:b/>
        </w:rPr>
        <w:t xml:space="preserve">à l'aide des normes seules</w:t>
      </w:r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Alors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de développement.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sSup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−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r>
          <m:t>2</m:t>
        </m:r>
        <m:r>
          <m:t> </m:t>
        </m:r>
        <m:sSup>
          <m:e>
            <m:acc>
              <m:accPr>
                <m:chr m:val="⃗"/>
              </m:accPr>
              <m:e>
                <m:r>
                  <m:t>v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+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−</m:t>
        </m:r>
        <m:r>
          <m:t>2</m:t>
        </m:r>
        <m:r>
          <m:t> </m:t>
        </m:r>
        <m:sSup>
          <m:e>
            <m:acc>
              <m:accPr>
                <m:chr m:val="⃗"/>
              </m:accPr>
              <m:e>
                <m:r>
                  <m:t>v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18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Propriété (avec les coordonnées).</w:t>
      </w:r>
      <w:r>
        <w:t xml:space="preserve"> </w:t>
      </w:r>
      <w:r>
        <w:t xml:space="preserve">Dans un</w:t>
      </w:r>
      <w:r>
        <w:t xml:space="preserve"> </w:t>
      </w:r>
      <w:r>
        <w:rPr>
          <w:bCs/>
          <w:b/>
        </w:rPr>
        <w:t xml:space="preserve">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</m:e>
        </m:d>
      </m:oMath>
      <w:r>
        <w:t xml:space="preserve">, 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</m:e>
              </m:mr>
              <m:mr>
                <m:e>
                  <m:r>
                    <m:t>y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′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′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r>
            <m:t>x</m:t>
          </m:r>
          <m:r>
            <m:t>x</m:t>
          </m:r>
          <m:r>
            <m:rPr>
              <m:sty m:val="p"/>
            </m:rPr>
            <m:t>′</m:t>
          </m:r>
          <m:r>
            <m:rPr>
              <m:sty m:val="p"/>
            </m:rPr>
            <m:t>+</m:t>
          </m:r>
          <m:r>
            <m:t>y</m:t>
          </m:r>
          <m:r>
            <m:t>y</m:t>
          </m:r>
          <m:r>
            <m:rPr>
              <m:sty m:val="p"/>
            </m:rPr>
            <m:t>′</m:t>
          </m:r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d>
            <m:dPr>
              <m:begChr m:val="∥"/>
              <m:endChr m:val="∥"/>
              <m:sepChr m:val=""/>
              <m:grow/>
            </m:dPr>
            <m:e>
              <m:acc>
                <m:accPr>
                  <m:chr m:val="⃗"/>
                </m:accPr>
                <m:e>
                  <m:r>
                    <m:t>u</m:t>
                  </m:r>
                </m:e>
              </m:acc>
            </m:e>
          </m: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</m:rad>
        </m:oMath>
      </m:oMathPara>
    </w:p>
    <w:p>
      <w:pPr>
        <w:pStyle w:val="FirstParagraph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</m:e>
        </m:d>
      </m:oMath>
      <w:r>
        <w:t xml:space="preserve"> </w:t>
      </w:r>
      <w:r>
        <w:t xml:space="preserve">est orthonormée :</w:t>
      </w:r>
      <w:r>
        <w:t xml:space="preserve"> </w:t>
      </w:r>
      <m:oMath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(normes égales à</w:t>
      </w:r>
      <w:r>
        <w:t xml:space="preserve"> </w:t>
      </w:r>
      <m:oMath>
        <m:r>
          <m:t>1</m:t>
        </m:r>
      </m:oMath>
      <w:r>
        <w:t xml:space="preserve">) et</w:t>
      </w:r>
      <w:r>
        <w:t xml:space="preserve"> </w:t>
      </w:r>
      <m:oMath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(vecteurs orthogonaux). Comme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x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x</m:t>
        </m:r>
        <m:r>
          <m:rPr>
            <m:sty m:val="p"/>
          </m:rPr>
          <m:t>′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+</m:t>
        </m:r>
        <m:r>
          <m:t>y</m:t>
        </m:r>
        <m:r>
          <m:rPr>
            <m:sty m:val="p"/>
          </m:rPr>
          <m:t>′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</m:oMath>
      <w:r>
        <w:t xml:space="preserve">, la bilinéarité donne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r>
            <m:t>x</m:t>
          </m:r>
          <m:r>
            <m:t>x</m:t>
          </m:r>
          <m:r>
            <m:rPr>
              <m:sty m:val="p"/>
            </m:rPr>
            <m:t>′</m:t>
          </m:r>
          <m:r>
            <m:t> </m:t>
          </m:r>
          <m:sSup>
            <m:e>
              <m:acc>
                <m:accPr>
                  <m:chr m:val="⃗"/>
                </m:accPr>
                <m:e>
                  <m:r>
                    <m:rPr>
                      <m:sty m:val="p"/>
                    </m:rPr>
                    <m:t>ı</m:t>
                  </m:r>
                </m:e>
              </m:acc>
            </m:e>
            <m:sup>
              <m:r>
                <m:t> </m:t>
              </m:r>
              <m:r>
                <m:t>2</m:t>
              </m:r>
            </m:sup>
          </m:sSup>
          <m:r>
            <m:rPr>
              <m:sty m:val="p"/>
            </m:rPr>
            <m:t>+</m:t>
          </m:r>
          <m:r>
            <m:t>x</m:t>
          </m:r>
          <m:r>
            <m:t>y</m:t>
          </m:r>
          <m:r>
            <m:rPr>
              <m:sty m:val="p"/>
            </m:rPr>
            <m:t>′</m:t>
          </m:r>
          <m:r>
            <m:t> </m:t>
          </m:r>
          <m:acc>
            <m:accPr>
              <m:chr m:val="⃗"/>
            </m:accPr>
            <m:e>
              <m:r>
                <m:rPr>
                  <m:sty m:val="p"/>
                </m:rPr>
                <m:t>ı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rPr>
                  <m:sty m:val="p"/>
                </m:rPr>
                <m:t>ȷ</m:t>
              </m:r>
            </m:e>
          </m:acc>
          <m:r>
            <m:rPr>
              <m:sty m:val="p"/>
            </m:rPr>
            <m:t>+</m:t>
          </m:r>
          <m:r>
            <m:t>y</m:t>
          </m:r>
          <m:r>
            <m:t>x</m:t>
          </m:r>
          <m:r>
            <m:rPr>
              <m:sty m:val="p"/>
            </m:rPr>
            <m:t>′</m:t>
          </m:r>
          <m:r>
            <m:t> </m:t>
          </m:r>
          <m:acc>
            <m:accPr>
              <m:chr m:val="⃗"/>
            </m:accPr>
            <m:e>
              <m:r>
                <m:rPr>
                  <m:sty m:val="p"/>
                </m:rPr>
                <m:t>ȷ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rPr>
                  <m:sty m:val="p"/>
                </m:rPr>
                <m:t>ı</m:t>
              </m:r>
            </m:e>
          </m:acc>
          <m:r>
            <m:rPr>
              <m:sty m:val="p"/>
            </m:rPr>
            <m:t>+</m:t>
          </m:r>
          <m:r>
            <m:t>y</m:t>
          </m:r>
          <m:r>
            <m:t>y</m:t>
          </m:r>
          <m:r>
            <m:rPr>
              <m:sty m:val="p"/>
            </m:rPr>
            <m:t>′</m:t>
          </m:r>
          <m:r>
            <m:t> </m:t>
          </m:r>
          <m:sSup>
            <m:e>
              <m:acc>
                <m:accPr>
                  <m:chr m:val="⃗"/>
                </m:accPr>
                <m:e>
                  <m:r>
                    <m:rPr>
                      <m:sty m:val="p"/>
                    </m:rPr>
                    <m:t>ȷ</m:t>
                  </m:r>
                </m:e>
              </m:acc>
            </m:e>
            <m:sup>
              <m:r>
                <m:t> </m:t>
              </m:r>
              <m:r>
                <m:t>2</m:t>
              </m:r>
            </m:sup>
          </m:sSup>
          <m:r>
            <m:rPr>
              <m:sty m:val="p"/>
            </m:rPr>
            <m:t>=</m:t>
          </m:r>
          <m:r>
            <m:t>x</m:t>
          </m:r>
          <m:r>
            <m:t>x</m:t>
          </m:r>
          <m:r>
            <m:rPr>
              <m:sty m:val="p"/>
            </m:rPr>
            <m:t>′</m:t>
          </m:r>
          <m:r>
            <m:rPr>
              <m:sty m:val="p"/>
            </m:rPr>
            <m:t>+</m:t>
          </m:r>
          <m:r>
            <m:t>y</m:t>
          </m:r>
          <m:r>
            <m:t>y</m:t>
          </m:r>
          <m:r>
            <m:rPr>
              <m:sty m:val="p"/>
            </m:rPr>
            <m:t>′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Conséquences dans un repère orthonormé.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Critère d'orthogonalité</w:t>
      </w:r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⇔</m:t>
        </m:r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Coordonnées avec des produits scalaires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Pourquoi ?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+</m:t>
            </m:r>
            <m:r>
              <m:t>y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</m:e>
        </m:d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x</m:t>
        </m:r>
        <m:r>
          <m:t> </m:t>
        </m:r>
        <m:sSup>
          <m:e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+</m:t>
        </m:r>
        <m:r>
          <m:t>y</m:t>
        </m:r>
        <m:r>
          <m:t> 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x</m:t>
        </m:r>
      </m:oMath>
      <w:r>
        <w:t xml:space="preserve">, et de même pour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  <m:r>
              <m:rPr>
                <m:sty m:val="p"/>
              </m:rPr>
              <m:t>+</m:t>
            </m:r>
            <m:r>
              <m:t>4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13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rPr>
          <w:bCs/>
          <w:b/>
        </w:rPr>
        <w:t xml:space="preserve">Avec des coordonnées</w:t>
      </w:r>
      <w:r>
        <w:t xml:space="preserve">, utilise</w:t>
      </w:r>
      <w:r>
        <w:t xml:space="preserve"> </w:t>
      </w:r>
      <m:oMath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</m:oMath>
      <w:r>
        <w:t xml:space="preserve"> </w:t>
      </w:r>
      <w:r>
        <w:t xml:space="preserve">: c'est le plus rapide.</w:t>
      </w:r>
      <w:r>
        <w:t xml:space="preserve"> </w:t>
      </w:r>
      <w:r>
        <w:rPr>
          <w:bCs/>
          <w:b/>
        </w:rPr>
        <w:t xml:space="preserve">Avec une figure et des longueurs</w:t>
      </w:r>
      <w:r>
        <w:t xml:space="preserve">, utilise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ou le projeté orthogonal.</w:t>
      </w:r>
      <w:r>
        <w:t xml:space="preserve"> </w:t>
      </w:r>
      <w:r>
        <w:rPr>
          <w:bCs/>
          <w:b/>
        </w:rPr>
        <w:t xml:space="preserve">Avec des vecteurs de figure</w:t>
      </w:r>
      <w:r>
        <w:t xml:space="preserve"> </w:t>
      </w:r>
      <w:r>
        <w:t xml:space="preserve">(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...),</w:t>
      </w:r>
      <w:r>
        <w:t xml:space="preserve"> </w:t>
      </w:r>
      <w:r>
        <w:rPr>
          <w:bCs/>
          <w:b/>
        </w:rPr>
        <w:t xml:space="preserve">décompose avec la relation de Chasles</w:t>
      </w:r>
      <w:r>
        <w:t xml:space="preserve"> </w:t>
      </w:r>
      <w:r>
        <w:t xml:space="preserve">pour faire apparaître des vecteurs dont tu connais les normes ou qui sont orthogonaux, puis</w:t>
      </w:r>
      <w:r>
        <w:t xml:space="preserve"> </w:t>
      </w:r>
      <w:r>
        <w:rPr>
          <w:bCs/>
          <w:b/>
        </w:rPr>
        <w:t xml:space="preserve">développe</w:t>
      </w:r>
      <w:r>
        <w:t xml:space="preserve">.</w:t>
      </w:r>
      <w:r>
        <w:t xml:space="preserve"> </w:t>
      </w:r>
      <w:r>
        <w:rPr>
          <w:bCs/>
          <w:b/>
        </w:rPr>
        <w:t xml:space="preserve">Pour une vérification</w:t>
      </w:r>
      <w:r>
        <w:t xml:space="preserve">, recalcule avec une autre écriture.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8"/>
        </w:numPr>
        <w:pStyle w:val="Compact"/>
      </w:pPr>
      <w:r>
        <w:t xml:space="preserve">La formule</w:t>
      </w:r>
      <w:r>
        <w:t xml:space="preserve"> </w:t>
      </w:r>
      <m:oMath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</m:oMath>
      <w:r>
        <w:t xml:space="preserve"> </w:t>
      </w:r>
      <w:r>
        <w:t xml:space="preserve">n'est valable que dans un</w:t>
      </w:r>
      <w:r>
        <w:t xml:space="preserve"> </w:t>
      </w:r>
      <w:r>
        <w:rPr>
          <w:bCs/>
          <w:b/>
        </w:rPr>
        <w:t xml:space="preserve">repère orthonormé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u</m:t>
                    </m:r>
                  </m:e>
                </m:acc>
                <m:r>
                  <m:rPr>
                    <m:sty m:val="p"/>
                  </m:rPr>
                  <m:t>+</m:t>
                </m:r>
                <m:acc>
                  <m:accPr>
                    <m:chr m:val="⃗"/>
                  </m:accPr>
                  <m:e>
                    <m:r>
                      <m:t>v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+</m:t>
        </m:r>
        <m:sSup>
          <m:e>
            <m:acc>
              <m:accPr>
                <m:chr m:val="⃗"/>
              </m:accPr>
              <m:e>
                <m:r>
                  <m:t>v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faux</w:t>
      </w:r>
      <w:r>
        <w:t xml:space="preserve"> </w:t>
      </w:r>
      <w:r>
        <w:t xml:space="preserve">: il manque le double produit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bCs/>
          <w:b/>
        </w:rPr>
        <w:t xml:space="preserve">n'implique pas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ou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: les deux vecteurs peuvent être orthogonaux.</w:t>
      </w:r>
    </w:p>
    <w:p>
      <w:pPr>
        <w:numPr>
          <w:ilvl w:val="0"/>
          <w:numId w:val="1008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rPr>
          <w:bCs/>
          <w:b/>
        </w:rPr>
        <w:t xml:space="preserve">n'implique pas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: on ne « simplifie » pas par un vecteur.</w:t>
      </w:r>
    </w:p>
    <w:p>
      <w:pPr>
        <w:numPr>
          <w:ilvl w:val="0"/>
          <w:numId w:val="1008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</m:oMath>
      <w:r>
        <w:t xml:space="preserve"> </w:t>
      </w:r>
      <w:r>
        <w:t xml:space="preserve">n'est pas égal à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</m:oMath>
      <w:r>
        <w:t xml:space="preserve"> </w:t>
      </w:r>
      <w:r>
        <w:t xml:space="preserve">en général.</w:t>
      </w:r>
    </w:p>
    <w:p>
      <w:pPr>
        <w:pStyle w:val="FirstParagraph"/>
      </w:pPr>
      <w:r>
        <w:t xml:space="preserve">« Simplifier » un produit scalaire, c'est comme simplifier une fraction en barrant les chiffres au hasard : ça rassure, mais ça ne marche pas.</w:t>
      </w:r>
    </w:p>
    <w:bookmarkEnd w:id="30"/>
    <w:bookmarkStart w:id="31" w:name="orthogonalité-et-angles"/>
    <w:p>
      <w:pPr>
        <w:pStyle w:val="Heading3"/>
      </w:pPr>
      <w:r>
        <w:t xml:space="preserve">3. Orthogonalité et angles</w:t>
      </w:r>
    </w:p>
    <w:p>
      <w:pPr>
        <w:pStyle w:val="FirstParagraph"/>
      </w:pPr>
      <w:r>
        <w:rPr>
          <w:bCs/>
          <w:b/>
        </w:rPr>
        <w:t xml:space="preserve">Rappel.</w:t>
      </w:r>
      <w:r>
        <w:t xml:space="preserve"> </w:t>
      </w:r>
      <w:r>
        <w:t xml:space="preserve">Deux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orthogonaux</w:t>
      </w:r>
      <w:r>
        <w:t xml:space="preserve"> </w:t>
      </w:r>
      <w:r>
        <w:t xml:space="preserve">si et seulement 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Deux droites sont</w:t>
      </w:r>
      <w:r>
        <w:t xml:space="preserve"> </w:t>
      </w:r>
      <w:r>
        <w:rPr>
          <w:bCs/>
          <w:b/>
        </w:rPr>
        <w:t xml:space="preserve">perpendiculaires</w:t>
      </w:r>
      <w:r>
        <w:t xml:space="preserve"> </w:t>
      </w:r>
      <w:r>
        <w:t xml:space="preserve">si et seulement si leurs vecteurs directeurs sont orthogonaux.</w:t>
      </w:r>
    </w:p>
    <w:p>
      <w:pPr>
        <w:pStyle w:val="BodyText"/>
      </w:pPr>
      <w:r>
        <w:rPr>
          <w:bCs/>
          <w:b/>
        </w:rPr>
        <w:t xml:space="preserve">Calcul d'un angle.</w:t>
      </w:r>
      <w:r>
        <w:t xml:space="preserve"> </w:t>
      </w:r>
      <w:r>
        <w:t xml:space="preserve">Pour deux vecteurs non nuls, si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est l'angle géométrique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t> 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</m:oMath>
      <w:r>
        <w:t xml:space="preserve">. On en déduit l'angle avec la calculatrice (mode degrés).</w:t>
      </w:r>
    </w:p>
    <w:p>
      <w:pPr>
        <w:numPr>
          <w:ilvl w:val="0"/>
          <w:numId w:val="1009"/>
        </w:numPr>
        <w:pStyle w:val="Compac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, l'angle est</w:t>
      </w:r>
      <w:r>
        <w:t xml:space="preserve"> </w:t>
      </w:r>
      <w:r>
        <w:rPr>
          <w:bCs/>
          <w:b/>
        </w:rPr>
        <w:t xml:space="preserve">aigu</w:t>
      </w:r>
      <w:r>
        <w:t xml:space="preserve"> </w:t>
      </w:r>
      <w:r>
        <w:t xml:space="preserve">;</w:t>
      </w:r>
    </w:p>
    <w:p>
      <w:pPr>
        <w:numPr>
          <w:ilvl w:val="0"/>
          <w:numId w:val="1009"/>
        </w:numPr>
        <w:pStyle w:val="Compac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&lt;</m:t>
        </m:r>
        <m:r>
          <m:t>0</m:t>
        </m:r>
      </m:oMath>
      <w:r>
        <w:t xml:space="preserve">, l'angle est</w:t>
      </w:r>
      <w:r>
        <w:t xml:space="preserve"> </w:t>
      </w:r>
      <w:r>
        <w:rPr>
          <w:bCs/>
          <w:b/>
        </w:rPr>
        <w:t xml:space="preserve">obtus</w:t>
      </w:r>
      <w:r>
        <w:t xml:space="preserve"> </w:t>
      </w:r>
      <w:r>
        <w:t xml:space="preserve">;</w:t>
      </w:r>
    </w:p>
    <w:p>
      <w:pPr>
        <w:numPr>
          <w:ilvl w:val="0"/>
          <w:numId w:val="1009"/>
        </w:numPr>
        <w:pStyle w:val="Compac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l'angle est</w:t>
      </w:r>
      <w:r>
        <w:t xml:space="preserve"> </w:t>
      </w:r>
      <w:r>
        <w:rPr>
          <w:bCs/>
          <w:b/>
        </w:rPr>
        <w:t xml:space="preserve">droit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53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prouver qu'un triangle est</w:t>
      </w:r>
      <w:r>
        <w:t xml:space="preserve"> </w:t>
      </w:r>
      <w:r>
        <w:rPr>
          <w:bCs/>
          <w:b/>
        </w:rPr>
        <w:t xml:space="preserve">rectangle</w:t>
      </w:r>
      <w:r>
        <w:t xml:space="preserve">, calcule le produit scalaire de deux côtés qui partent d'un même sommet : s'il est</w:t>
      </w:r>
      <w:r>
        <w:t xml:space="preserve"> </w:t>
      </w:r>
      <w:r>
        <w:rPr>
          <w:bCs/>
          <w:b/>
        </w:rPr>
        <w:t xml:space="preserve">nul</w:t>
      </w:r>
      <w:r>
        <w:t xml:space="preserve">, l'angle est droit. C'est souvent plus simple que la réciproque de Pythagore.</w:t>
      </w:r>
    </w:p>
    <w:bookmarkEnd w:id="31"/>
    <w:bookmarkStart w:id="35" w:name="X61459df9b3db0db5618251890d0ed493356370f"/>
    <w:p>
      <w:pPr>
        <w:pStyle w:val="Heading3"/>
      </w:pPr>
      <w:r>
        <w:t xml:space="preserve">4. Formule d'Al-Kashi : longueurs et angles dans un triangle</w:t>
      </w:r>
    </w:p>
    <w:p>
      <w:pPr>
        <w:pStyle w:val="FirstParagraph"/>
      </w:pP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on note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C</m:t>
        </m:r>
        <m:r>
          <m:t>A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C</m:t>
            </m:r>
          </m:e>
        </m:acc>
      </m:oMath>
      <w:r>
        <w:t xml:space="preserve"> </w:t>
      </w:r>
      <w:r>
        <w:t xml:space="preserve">les angles.</w:t>
      </w:r>
    </w:p>
    <w:p>
      <w:pPr>
        <w:pStyle w:val="CaptionedFigure"/>
      </w:pPr>
      <w:r>
        <w:drawing>
          <wp:inline>
            <wp:extent cx="4000500" cy="3162300"/>
            <wp:effectExtent b="0" l="0" r="0" t="0"/>
            <wp:docPr descr="Formule d’Al-Kashi : a² = b² + c² − 2bc cos Â" title="" id="33" name="Picture"/>
            <a:graphic>
              <a:graphicData uri="http://schemas.openxmlformats.org/drawingml/2006/picture">
                <pic:pic>
                  <pic:nvPicPr>
                    <pic:cNvPr descr="figs/fig290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Formule d’Al-Kashi : a² = b² + c² − 2bc cos Â</w:t>
      </w:r>
    </w:p>
    <w:p>
      <w:pPr>
        <w:pStyle w:val="BodyText"/>
      </w:pPr>
      <w:r>
        <w:rPr>
          <w:bCs/>
          <w:b/>
        </w:rPr>
        <w:t xml:space="preserve">Formule d'Al-Kashi</w:t>
      </w:r>
      <w:r>
        <w:t xml:space="preserve"> </w:t>
      </w:r>
      <w:r>
        <w:t xml:space="preserve">(théorème de Pythagore généralisé). Dans tout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2</m:t>
          </m:r>
          <m:r>
            <m:t>b</m:t>
          </m:r>
          <m:r>
            <m:t>c</m:t>
          </m:r>
          <m:r>
            <m:rPr>
              <m:sty m:val="p"/>
            </m:rPr>
            <m:t>cos</m:t>
          </m:r>
          <m:acc>
            <m:accPr>
              <m:chr m:val="̂"/>
            </m:accPr>
            <m:e>
              <m:r>
                <m:t>A</m:t>
              </m:r>
            </m:e>
          </m:acc>
        </m:oMath>
      </m:oMathPara>
    </w:p>
    <w:p>
      <w:pPr>
        <w:pStyle w:val="FirstParagraph"/>
      </w:pPr>
      <w:r>
        <w:t xml:space="preserve">et de même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a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a</m:t>
        </m:r>
        <m:r>
          <m:t>b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C</m:t>
            </m:r>
          </m:e>
        </m:acc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∥"/>
                <m:endChr m:val="∥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C</m:t>
                    </m:r>
                  </m:e>
                </m:acc>
                <m:r>
                  <m:rPr>
                    <m:sty m:val="p"/>
                  </m:rPr>
                  <m:t>−</m:t>
                </m:r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B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b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Si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t>90</m:t>
        </m:r>
        <m:r>
          <m:rPr>
            <m:sty m:val="p"/>
          </m:rPr>
          <m:t>°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on retrouve le</w:t>
      </w:r>
      <w:r>
        <w:t xml:space="preserve"> </w:t>
      </w:r>
      <w:r>
        <w:rPr>
          <w:bCs/>
          <w:b/>
        </w:rPr>
        <w:t xml:space="preserve">théorème de Pythagore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(une longueur).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t>60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49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39</m:t>
        </m:r>
      </m:oMath>
      <w:r>
        <w:t xml:space="preserve">, donc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39</m:t>
            </m:r>
          </m:e>
        </m:rad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(un angle).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36</m:t>
            </m:r>
            <m:r>
              <m:rPr>
                <m:sty m:val="p"/>
              </m:rPr>
              <m:t>+</m:t>
            </m:r>
            <m:r>
              <m:t>49</m:t>
            </m:r>
            <m:r>
              <m:rPr>
                <m:sty m:val="p"/>
              </m:rPr>
              <m:t>−</m:t>
            </m:r>
            <m:r>
              <m:t>25</m:t>
            </m:r>
          </m:num>
          <m:den>
            <m:r>
              <m:t>84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≈</m:t>
        </m:r>
        <m:r>
          <m:t>44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0"/>
        </w:numPr>
        <w:pStyle w:val="Compact"/>
      </w:pPr>
      <w:r>
        <w:t xml:space="preserve">Dans Al-Kashi, l'angle est</w:t>
      </w:r>
      <w:r>
        <w:t xml:space="preserve"> </w:t>
      </w:r>
      <w:r>
        <w:rPr>
          <w:bCs/>
          <w:b/>
        </w:rPr>
        <w:t xml:space="preserve">celui qui est entre les deux côtés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; le côté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en face</w:t>
      </w:r>
      <w:r>
        <w:t xml:space="preserve"> </w:t>
      </w:r>
      <w:r>
        <w:t xml:space="preserve">de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Calcule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puis prends la racine : n'oublie pas la racine carrée à la fin.</w:t>
      </w:r>
    </w:p>
    <w:p>
      <w:pPr>
        <w:numPr>
          <w:ilvl w:val="0"/>
          <w:numId w:val="1010"/>
        </w:numPr>
        <w:pStyle w:val="Compact"/>
      </w:pPr>
      <w:r>
        <w:t xml:space="preserve">Pour trouver un angle avec Al-Kashi, isole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b</m:t>
            </m:r>
            <m:r>
              <m:t>c</m:t>
            </m:r>
          </m:den>
        </m:f>
      </m:oMath>
      <w:r>
        <w:t xml:space="preserve">, puis utilise la touche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w:r>
        <w:rPr>
          <w:bCs/>
          <w:b/>
        </w:rPr>
        <w:t xml:space="preserve">mode degrés</w:t>
      </w:r>
      <w:r>
        <w:t xml:space="preserve">.</w:t>
      </w:r>
    </w:p>
    <w:p>
      <w:pPr>
        <w:pStyle w:val="FirstParagraph"/>
      </w:pPr>
      <w:r>
        <w:t xml:space="preserve">Appliquer Al-Kashi avec un mauvais angle, c'est lire un plan de métro à l'envers : tu arrives, mais pas là où tu voulais.</w:t>
      </w:r>
    </w:p>
    <w:bookmarkEnd w:id="35"/>
    <w:bookmarkStart w:id="39" w:name="X62eed5d0827878fded1499376c51ff7a8f2f89c"/>
    <w:p>
      <w:pPr>
        <w:pStyle w:val="Heading3"/>
      </w:pPr>
      <w:r>
        <w:t xml:space="preserve">5. Transformation de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et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Soit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Pour tout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du plan 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M</m:t>
              </m:r>
              <m:r>
                <m:t>A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M</m:t>
              </m:r>
              <m:r>
                <m:t>B</m:t>
              </m:r>
            </m:e>
          </m:acc>
          <m:r>
            <m:rPr>
              <m:sty m:val="p"/>
            </m:rPr>
            <m:t>=</m:t>
          </m:r>
          <m:r>
            <m:t>M</m:t>
          </m:r>
          <m:sSup>
            <m:e>
              <m:r>
                <m:t>I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A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4</m:t>
              </m:r>
            </m:den>
          </m:f>
        </m:oMath>
      </m:oMathPara>
    </w:p>
    <w:p>
      <w:pPr>
        <w:pStyle w:val="FirstParagraph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On introduit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</m:e>
        </m:d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Ensemble des points</w:t>
      </w:r>
      <w:r>
        <w:rPr>
          <w:bCs/>
          <w:b/>
        </w:rPr>
        <w:t xml:space="preserve"> </w:t>
      </w:r>
      <m:oMath>
        <m:r>
          <m:t>M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tels que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⇔</m:t>
        </m:r>
        <m:r>
          <m:t>M</m:t>
        </m:r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Cet ensemble est donc le</w:t>
      </w:r>
      <w:r>
        <w:t xml:space="preserve"> </w:t>
      </w:r>
      <w:r>
        <w:rPr>
          <w:bCs/>
          <w:b/>
        </w:rPr>
        <w:t xml:space="preserve">cercle de centre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rayon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, c'est-à-dire le</w:t>
      </w:r>
      <w:r>
        <w:t xml:space="preserve"> </w:t>
      </w:r>
      <w:r>
        <w:rPr>
          <w:bCs/>
          <w:b/>
        </w:rPr>
        <w:t xml:space="preserve">cercle de diamètre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Pour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distinct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 cela signifie que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est droit.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CaptionedFigure"/>
      </w:pPr>
      <w:r>
        <w:drawing>
          <wp:inline>
            <wp:extent cx="3810000" cy="3457575"/>
            <wp:effectExtent b="0" l="0" r="0" t="0"/>
            <wp:docPr descr="Le cercle de diamètre [AB] : MA · MB = 0, l’angle AMB est droit" title="" id="37" name="Picture"/>
            <a:graphic>
              <a:graphicData uri="http://schemas.openxmlformats.org/drawingml/2006/picture">
                <pic:pic>
                  <pic:nvPicPr>
                    <pic:cNvPr descr="figs/fig33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cercle de diamètre [AB] : MA · MB = 0, l’angle AMB est droit</w:t>
      </w:r>
    </w:p>
    <w:p>
      <w:pPr>
        <w:pStyle w:val="BodyText"/>
      </w:pPr>
      <w:r>
        <w:rPr>
          <w:iCs/>
          <w:i/>
        </w:rPr>
        <w:t xml:space="preserve">Ensemble de points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k</m:t>
        </m:r>
        <m:r>
          <m:rPr>
            <m:sty m:val="p"/>
          </m:rPr>
          <m:t>+</m:t>
        </m:r>
        <m:r>
          <m:t>9</m:t>
        </m:r>
      </m:oMath>
      <w:r>
        <w:t xml:space="preserve">. Si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9</m:t>
        </m:r>
      </m:oMath>
      <w:r>
        <w:t xml:space="preserve">, c'est un cercle de rayon</w:t>
      </w:r>
      <w:r>
        <w:t xml:space="preserve"> </w:t>
      </w:r>
      <m:oMath>
        <m:rad>
          <m:radPr>
            <m:degHide m:val="on"/>
          </m:radPr>
          <m:deg/>
          <m:e>
            <m:r>
              <m:t>k</m:t>
            </m:r>
            <m:r>
              <m:rPr>
                <m:sty m:val="p"/>
              </m:rPr>
              <m:t>+</m:t>
            </m:r>
            <m:r>
              <m:t>9</m:t>
            </m:r>
          </m:e>
        </m:rad>
      </m:oMath>
      <w:r>
        <w:t xml:space="preserve"> </w:t>
      </w:r>
      <w:r>
        <w:t xml:space="preserve">; si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, le point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; si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9</m:t>
        </m:r>
      </m:oMath>
      <w:r>
        <w:t xml:space="preserve">, l'ensemble vide.</w:t>
      </w:r>
    </w:p>
    <w:p>
      <w:pPr>
        <w:pStyle w:val="BodyText"/>
      </w:pPr>
      <w:r>
        <w:rPr>
          <w:bCs/>
          <w:b/>
        </w:rPr>
        <w:t xml:space="preserve">Même méthode, deux autres calculs avec le milieu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Ils ne sont pas à apprendre par cœur : on les retrouve en quelques lignes.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Somme de carrés.</w:t>
      </w:r>
      <w:r>
        <w:t xml:space="preserve"> </w:t>
      </w:r>
      <w:r>
        <w:t xml:space="preserve">Avec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M</m:t>
                    </m:r>
                    <m:r>
                      <m:t>I</m:t>
                    </m:r>
                  </m:e>
                </m:acc>
                <m:r>
                  <m:rPr>
                    <m:sty m:val="p"/>
                  </m:rPr>
                  <m:t>+</m:t>
                </m:r>
                <m:acc>
                  <m:accPr>
                    <m:chr m:val="⃗"/>
                  </m:accPr>
                  <m:e>
                    <m:r>
                      <m:t>I</m:t>
                    </m:r>
                    <m:r>
                      <m:t>A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M</m:t>
                    </m:r>
                    <m:r>
                      <m:t>I</m:t>
                    </m:r>
                  </m:e>
                </m:acc>
                <m:r>
                  <m:rPr>
                    <m:sty m:val="p"/>
                  </m:rPr>
                  <m:t>−</m:t>
                </m:r>
                <m:acc>
                  <m:accPr>
                    <m:chr m:val="⃗"/>
                  </m:accPr>
                  <m:e>
                    <m:r>
                      <m:t>I</m:t>
                    </m:r>
                    <m:r>
                      <m:t>A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(les doubles produits s'annulent).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Longueur d'une médiane.</w:t>
      </w:r>
      <w:r>
        <w:t xml:space="preserve"> </w:t>
      </w:r>
      <w:r>
        <w:t xml:space="preserve">Avec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donc</w:t>
      </w:r>
      <w:r>
        <w:t xml:space="preserve"> </w:t>
      </w: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Or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(c'est Al-Kashi), donc</w:t>
      </w:r>
      <w:r>
        <w:t xml:space="preserve"> </w:t>
      </w: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 (médiane).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8</m:t>
        </m:r>
      </m:oMath>
      <w:r>
        <w:t xml:space="preserve">,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36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64</m:t>
        </m:r>
        <m:r>
          <m:rPr>
            <m:sty m:val="p"/>
          </m:rPr>
          <m:t>−</m:t>
        </m:r>
        <m:r>
          <m:t>100</m:t>
        </m:r>
        <m:r>
          <m:rPr>
            <m:sty m:val="p"/>
          </m:rPr>
          <m:t>=</m:t>
        </m:r>
        <m:r>
          <m:t>100</m:t>
        </m:r>
      </m:oMath>
      <w:r>
        <w:t xml:space="preserve">, donc</w:t>
      </w:r>
      <w:r>
        <w:t xml:space="preserve"> </w:t>
      </w:r>
      <m:oMath>
        <m:r>
          <m:t>A</m:t>
        </m:r>
        <m:r>
          <m:t>I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(ensemble de points).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8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Les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vérifient</w:t>
      </w:r>
      <w:r>
        <w:t xml:space="preserve"> </w:t>
      </w:r>
      <m:oMath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32</m:t>
        </m:r>
        <m:r>
          <m:rPr>
            <m:sty m:val="p"/>
          </m:rPr>
          <m:t>=</m:t>
        </m:r>
        <m:r>
          <m:t>40</m:t>
        </m:r>
      </m:oMath>
      <w:r>
        <w:t xml:space="preserve">, soit</w:t>
      </w:r>
      <w:r>
        <w:t xml:space="preserve"> </w:t>
      </w:r>
      <m:oMath>
        <m:r>
          <m:t>M</m:t>
        </m:r>
        <m:r>
          <m:t>I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c'est le</w:t>
      </w:r>
      <w:r>
        <w:t xml:space="preserve"> </w:t>
      </w:r>
      <w:r>
        <w:rPr>
          <w:bCs/>
          <w:b/>
        </w:rPr>
        <w:t xml:space="preserve">cercle de centre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rayon</w:t>
      </w:r>
      <w:r>
        <w:rPr>
          <w:bCs/>
          <w:b/>
        </w:rP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2"/>
        </w:numPr>
        <w:pStyle w:val="Compact"/>
      </w:pPr>
      <w:r>
        <w:t xml:space="preserve">Ces calculs demandent que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soit</w:t>
      </w:r>
      <w:r>
        <w:t xml:space="preserve"> </w:t>
      </w:r>
      <w:r>
        <w:rPr>
          <w:bCs/>
          <w:b/>
        </w:rPr>
        <w:t xml:space="preserve">le milieu</w:t>
      </w:r>
      <w:r>
        <w:t xml:space="preserve"> </w:t>
      </w:r>
      <w:r>
        <w:t xml:space="preserve">du segment, pas un point quelconque.</w:t>
      </w:r>
    </w:p>
    <w:p>
      <w:pPr>
        <w:numPr>
          <w:ilvl w:val="0"/>
          <w:numId w:val="1012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 </w:t>
      </w:r>
      <w:r>
        <w:t xml:space="preserve">: ne confonds pas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A</m:t>
                    </m:r>
                    <m:r>
                      <m:t>B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ni avec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39"/>
    <w:bookmarkStart w:id="40" w:name="pour-aller-plus-loin-hors-programme"/>
    <w:p>
      <w:pPr>
        <w:pStyle w:val="Heading3"/>
      </w:pPr>
      <w:r>
        <w:t xml:space="preserve">Pour aller plus loin, hors programme</w:t>
      </w:r>
    </w:p>
    <w:p>
      <w:pPr>
        <w:pStyle w:val="FirstParagraph"/>
      </w:pPr>
      <w:r>
        <w:rPr>
          <w:bCs/>
          <w:b/>
        </w:rPr>
        <w:t xml:space="preserve">Hors programme de Première.</w:t>
      </w:r>
      <w:r>
        <w:t xml:space="preserve"> </w:t>
      </w:r>
      <w:r>
        <w:t xml:space="preserve">Ces deux résultats ne sont pas exigibles et aucun exercice du chapitre n'en a besoin.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Aire d'un triangle.</w:t>
      </w:r>
      <w:r>
        <w:t xml:space="preserve"> </w:t>
      </w:r>
      <w:r>
        <w:t xml:space="preserve">Si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l'aire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</m:oMath>
      <w:r>
        <w:t xml:space="preserve">. 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sin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, d'où 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t>b</m:t>
        </m:r>
        <m:r>
          <m:t>c</m:t>
        </m:r>
        <m:r>
          <m:rPr>
            <m:sty m:val="p"/>
          </m:rPr>
          <m:t>sin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. Au programme, on calcule plutôt</w:t>
      </w:r>
      <w:r>
        <w:t xml:space="preserve"> </w:t>
      </w:r>
      <m:oMath>
        <m:r>
          <m:t>C</m:t>
        </m:r>
        <m:r>
          <m:t>H</m:t>
        </m:r>
      </m:oMath>
      <w:r>
        <w:t xml:space="preserve"> </w:t>
      </w:r>
      <w:r>
        <w:t xml:space="preserve">avec le projeté orthogonal et le théorème de Pythagore (voir la fiche 3).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Loi des sinus</w:t>
      </w:r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rPr>
                <m:sty m:val="p"/>
              </m:rPr>
              <m:t>sin</m:t>
            </m:r>
            <m:acc>
              <m:accPr>
                <m:chr m:val="̂"/>
              </m:accPr>
              <m:e>
                <m:r>
                  <m:t>A</m:t>
                </m:r>
              </m:e>
            </m:acc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</m:num>
          <m:den>
            <m:r>
              <m:rPr>
                <m:sty m:val="p"/>
              </m:rPr>
              <m:t>sin</m:t>
            </m:r>
            <m:acc>
              <m:accPr>
                <m:chr m:val="̂"/>
              </m:accPr>
              <m:e>
                <m:r>
                  <m:t>B</m:t>
                </m:r>
              </m:e>
            </m:acc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c</m:t>
            </m:r>
          </m:num>
          <m:den>
            <m:r>
              <m:rPr>
                <m:sty m:val="p"/>
              </m:rPr>
              <m:t>sin</m:t>
            </m:r>
            <m:acc>
              <m:accPr>
                <m:chr m:val="̂"/>
              </m:accPr>
              <m:e>
                <m:r>
                  <m:t>C</m:t>
                </m:r>
              </m:e>
            </m:acc>
          </m:den>
        </m:f>
      </m:oMath>
      <w:r>
        <w:t xml:space="preserve">. Elle est admise ici (c'est un approfondissement possible du programme).</w:t>
      </w:r>
    </w:p>
    <w:bookmarkEnd w:id="40"/>
    <w:bookmarkStart w:id="41" w:name="un-peu-dhistoire"/>
    <w:p>
      <w:pPr>
        <w:pStyle w:val="Heading3"/>
      </w:pPr>
      <w:r>
        <w:t xml:space="preserve">Un peu d'histoire</w:t>
      </w:r>
    </w:p>
    <w:p>
      <w:pPr>
        <w:numPr>
          <w:ilvl w:val="0"/>
          <w:numId w:val="1014"/>
        </w:numPr>
        <w:pStyle w:val="Compact"/>
      </w:pPr>
      <w:r>
        <w:t xml:space="preserve">La notion de</w:t>
      </w:r>
      <w:r>
        <w:t xml:space="preserve"> </w:t>
      </w:r>
      <w:r>
        <w:rPr>
          <w:bCs/>
          <w:b/>
        </w:rPr>
        <w:t xml:space="preserve">vecteur</w:t>
      </w:r>
      <w:r>
        <w:t xml:space="preserve"> </w:t>
      </w:r>
      <w:r>
        <w:t xml:space="preserve">était implicite en mécanique depuis Galilée, mais elle a mis longtemps à prendre sa forme actuelle. On observe un lien entre analyse et géométrie dans la façon dont elle apparaît chez</w:t>
      </w:r>
      <w:r>
        <w:t xml:space="preserve"> </w:t>
      </w:r>
      <w:r>
        <w:rPr>
          <w:bCs/>
          <w:b/>
        </w:rPr>
        <w:t xml:space="preserve">Leibniz</w:t>
      </w:r>
      <w:r>
        <w:t xml:space="preserve">, lors de ses recherches sur un calcul des variations.</w:t>
      </w:r>
    </w:p>
    <w:p>
      <w:pPr>
        <w:numPr>
          <w:ilvl w:val="0"/>
          <w:numId w:val="1014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XIXe siècle</w:t>
      </w:r>
      <w:r>
        <w:t xml:space="preserve"> </w:t>
      </w:r>
      <w:r>
        <w:t xml:space="preserve">voit l'élaboration conjointe de ce qui deviendra le</w:t>
      </w:r>
      <w:r>
        <w:t xml:space="preserve"> </w:t>
      </w:r>
      <w:r>
        <w:rPr>
          <w:bCs/>
          <w:b/>
        </w:rPr>
        <w:t xml:space="preserve">produit scalaire</w:t>
      </w:r>
      <w:r>
        <w:t xml:space="preserve"> </w:t>
      </w:r>
      <w:r>
        <w:t xml:space="preserve">et de la notion de</w:t>
      </w:r>
      <w:r>
        <w:t xml:space="preserve"> </w:t>
      </w:r>
      <w:r>
        <w:rPr>
          <w:bCs/>
          <w:b/>
        </w:rPr>
        <w:t xml:space="preserve">travail</w:t>
      </w:r>
      <w:r>
        <w:t xml:space="preserve"> </w:t>
      </w:r>
      <w:r>
        <w:t xml:space="preserve">en physique : c'est la caisse du début du cours.</w:t>
      </w:r>
    </w:p>
    <w:p>
      <w:pPr>
        <w:numPr>
          <w:ilvl w:val="0"/>
          <w:numId w:val="1014"/>
        </w:numPr>
        <w:pStyle w:val="Compact"/>
      </w:pPr>
      <w:r>
        <w:t xml:space="preserve">Le calcul vectoriel et le produit scalaire donnent une approche de la géométrie différente de celle des Anciens, avec l'avantage de combiner vision géométrique et calcul.</w:t>
      </w:r>
    </w:p>
    <w:p>
      <w:pPr>
        <w:numPr>
          <w:ilvl w:val="0"/>
          <w:numId w:val="1014"/>
        </w:numPr>
        <w:pStyle w:val="Compact"/>
      </w:pPr>
      <w:r>
        <w:t xml:space="preserve">La caractérisation du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comme 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 le triangle</w:t>
      </w:r>
      <w:r>
        <w:t xml:space="preserve"> </w:t>
      </w:r>
      <m:oMath>
        <m:r>
          <m:t>A</m:t>
        </m:r>
        <m:r>
          <m:t>M</m:t>
        </m:r>
        <m:r>
          <m:t>B</m:t>
        </m:r>
      </m:oMath>
      <w:r>
        <w:t xml:space="preserve"> </w:t>
      </w:r>
      <w:r>
        <w:t xml:space="preserve">soit rectangle 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semble remonter à</w:t>
      </w:r>
      <w:r>
        <w:t xml:space="preserve"> </w:t>
      </w:r>
      <w:r>
        <w:rPr>
          <w:bCs/>
          <w:b/>
        </w:rPr>
        <w:t xml:space="preserve">Thalès</w:t>
      </w:r>
      <w:r>
        <w:t xml:space="preserve">.</w:t>
      </w:r>
    </w:p>
    <w:p>
      <w:pPr>
        <w:pStyle w:val="FirstParagraph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Produit scalaire : le cours</dc:title>
  <dc:creator>Antoine Boutin, plusquunprof.com</dc:creator>
  <dc:language>fr</dc:language>
  <cp:keywords/>
  <dcterms:created xsi:type="dcterms:W3CDTF">2026-10-10T06:55:06Z</dcterms:created>
  <dcterms:modified xsi:type="dcterms:W3CDTF">2026-10-10T06:55:06Z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