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variables aléatoires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Variables aléatoires,</w:t>
      </w:r>
      <w:r>
        <w:t xml:space="preserve"> </w:t>
      </w:r>
      <w:r>
        <w:rPr>
          <w:bCs/>
          <w:b/>
        </w:rPr>
        <w:t xml:space="preserve">les quatorze situations qui reviennent en contrôle</w:t>
      </w:r>
      <w:r>
        <w:t xml:space="preserve"> </w:t>
      </w:r>
      <w:r>
        <w:t xml:space="preserve">et, pour chacune, la rédaction modèle. Dans ce chapitre, la rédaction consiste surtout à</w:t>
      </w:r>
      <w:r>
        <w:t xml:space="preserve"> </w:t>
      </w:r>
      <w:r>
        <w:rPr>
          <w:bCs/>
          <w:b/>
        </w:rPr>
        <w:t xml:space="preserve">définir la variable aléatoire</w:t>
      </w:r>
      <w:r>
        <w:t xml:space="preserve">, à</w:t>
      </w:r>
      <w:r>
        <w:t xml:space="preserve"> </w:t>
      </w:r>
      <w:r>
        <w:rPr>
          <w:bCs/>
          <w:b/>
        </w:rPr>
        <w:t xml:space="preserve">vérifier que la somme des probabilités vaut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, à</w:t>
      </w:r>
      <w:r>
        <w:t xml:space="preserve"> </w:t>
      </w:r>
      <w:r>
        <w:rPr>
          <w:bCs/>
          <w:b/>
        </w:rPr>
        <w:t xml:space="preserve">citer la formule</w:t>
      </w:r>
      <w:r>
        <w:t xml:space="preserve"> </w:t>
      </w:r>
      <w:r>
        <w:t xml:space="preserve">et à</w:t>
      </w:r>
      <w:r>
        <w:t xml:space="preserve"> </w:t>
      </w:r>
      <w:r>
        <w:rPr>
          <w:bCs/>
          <w:b/>
        </w:rPr>
        <w:t xml:space="preserve">interpréter</w:t>
      </w:r>
      <w:r>
        <w:t xml:space="preserve"> </w:t>
      </w:r>
      <w:r>
        <w:t xml:space="preserve">le résultat.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Dans un exercice sur une variable aléatoire,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variable</w:t>
      </w:r>
      <w:r>
        <w:t xml:space="preserve"> </w:t>
      </w:r>
      <w:r>
        <w:t xml:space="preserve">définie avec son unité et ses valeurs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</w:t>
      </w:r>
      <w:r>
        <w:t xml:space="preserve"> </w:t>
      </w:r>
      <w:r>
        <w:t xml:space="preserve">écrite en tableau,</w:t>
      </w:r>
      <w:r>
        <w:t xml:space="preserve"> </w:t>
      </w:r>
      <w:r>
        <w:rPr>
          <w:bCs/>
          <w:b/>
        </w:rPr>
        <w:t xml:space="preserve">somme vérifiée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citée</w:t>
      </w:r>
      <w:r>
        <w:t xml:space="preserve"> </w:t>
      </w:r>
      <w:r>
        <w:t xml:space="preserve">(espérance, König-Huygens, linéarité)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</w:t>
      </w:r>
      <w:r>
        <w:t xml:space="preserve"> </w:t>
      </w:r>
      <w:r>
        <w:t xml:space="preserve">avec les valeurs substituées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interprétation</w:t>
      </w:r>
      <w:r>
        <w:t xml:space="preserve"> </w:t>
      </w:r>
      <w:r>
        <w:t xml:space="preserve">par une phrase.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définir la variable aléatoire et ses valeurs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gain algébrique du joueur, en euros. L'univers est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…</m:t>
        </m:r>
        <m:r>
          <m:rPr>
            <m:sty m:val="p"/>
          </m:rPr>
          <m:t>;</m:t>
        </m:r>
        <m:r>
          <m:t>6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ω</m:t>
        </m:r>
        <m:r>
          <m:rPr>
            <m:sty m:val="p"/>
          </m:rPr>
          <m:t>≤</m:t>
        </m:r>
        <m:r>
          <m:t>3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4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. »</w:t>
      </w:r>
    </w:p>
    <w:p>
      <w:pPr>
        <w:pStyle w:val="BodyText"/>
      </w:pPr>
      <w:r>
        <w:t xml:space="preserve">Écris l'</w:t>
      </w:r>
      <w:r>
        <w:rPr>
          <w:bCs/>
          <w:b/>
        </w:rPr>
        <w:t xml:space="preserve">unité</w:t>
      </w:r>
      <w:r>
        <w:t xml:space="preserve">, l'</w:t>
      </w:r>
      <w:r>
        <w:rPr>
          <w:bCs/>
          <w:b/>
        </w:rPr>
        <w:t xml:space="preserve">univers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valeurs possibles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2 : traduire une phrase en symboles</w:t>
      </w:r>
    </w:p>
    <w:p>
      <w:pPr>
        <w:pStyle w:val="BodyText"/>
      </w:pPr>
      <w:r>
        <w:t xml:space="preserve">« La probabilité que le gain soit au plus égal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€ s'écrit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 Au plus » :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. « Au moins » :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. « Strictement » :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3 : écrire la loi et vérifier la somme</w:t>
      </w:r>
    </w:p>
    <w:p>
      <w:pPr>
        <w:pStyle w:val="BodyText"/>
      </w:pPr>
      <w:r>
        <w:t xml:space="preserve">« La loi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donnée par le tableau suivant. Vérification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obtenir la loi à partir d'un arbre</w:t>
      </w:r>
    </w:p>
    <w:p>
      <w:pPr>
        <w:pStyle w:val="BodyText"/>
      </w:pPr>
      <w:r>
        <w:t xml:space="preserve">« Les tirs sont indépendants : on multiplie le long d'un chemin. Deux chemins réalisent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42</m:t>
        </m:r>
      </m:oMath>
      <w:r>
        <w:t xml:space="preserve">. »</w:t>
      </w:r>
    </w:p>
    <w:p>
      <w:pPr>
        <w:pStyle w:val="BodyText"/>
      </w:pPr>
      <w:r>
        <w:t xml:space="preserve">Pour construire l'arbre, voir la rédaction du chapitre 9.</w:t>
      </w:r>
    </w:p>
    <w:p>
      <w:pPr>
        <w:pStyle w:val="BodyText"/>
      </w:pPr>
      <w:r>
        <w:rPr>
          <w:bCs/>
          <w:b/>
        </w:rPr>
        <w:t xml:space="preserve">Situation 5 : calculer l'espérance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x</m:t>
            </m:r>
          </m:e>
          <m:sub>
            <m:r>
              <m:t>i</m:t>
            </m:r>
          </m:sub>
        </m:sSub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interpréter l'espérance</w:t>
      </w:r>
    </w:p>
    <w:p>
      <w:pPr>
        <w:pStyle w:val="BodyText"/>
      </w:pPr>
      <w:r>
        <w:t xml:space="preserve">« En moyenne, sur un grand nombre de parties, le joueur gagne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 </w:t>
      </w:r>
      <w:r>
        <w:t xml:space="preserve">€ par partie. »</w:t>
      </w:r>
    </w:p>
    <w:p>
      <w:pPr>
        <w:pStyle w:val="BodyText"/>
      </w:pPr>
      <w:r>
        <w:t xml:space="preserve">L'espérance n'est pas le résultat d'une seule partie.</w:t>
      </w:r>
    </w:p>
    <w:p>
      <w:pPr>
        <w:pStyle w:val="BodyText"/>
      </w:pPr>
      <w:r>
        <w:rPr>
          <w:bCs/>
          <w:b/>
        </w:rPr>
        <w:t xml:space="preserve">Situation 7 : étudier un jeu équitable et la mise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la somme reçue.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€. Le gain algébrique est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−</m:t>
        </m:r>
        <m:r>
          <m:t>m</m:t>
        </m:r>
      </m:oMath>
      <w:r>
        <w:t xml:space="preserve">, d'espérance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−</m:t>
        </m:r>
        <m:r>
          <m:t>m</m:t>
        </m:r>
      </m:oMath>
      <w:r>
        <w:t xml:space="preserve">. Le jeu est équitable si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 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€. »</w:t>
      </w:r>
    </w:p>
    <w:p>
      <w:pPr>
        <w:pStyle w:val="BodyText"/>
      </w:pPr>
      <w:r>
        <w:rPr>
          <w:bCs/>
          <w:b/>
        </w:rPr>
        <w:t xml:space="preserve">Situation 8 : utiliser la linéarité de l'espérance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D</m:t>
        </m:r>
        <m:r>
          <m:rPr>
            <m:sty m:val="p"/>
          </m:rPr>
          <m:t>−</m:t>
        </m:r>
        <m:r>
          <m:t>5</m:t>
        </m:r>
      </m:oMath>
      <w:r>
        <w:t xml:space="preserve">. Par linéarité de l'espérance,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Cite la propriété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9 : calculer la variance avec König-Huygens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. D'après la formule de König-Huygens,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</m:num>
          <m:den>
            <m:r>
              <m:t>4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donner et interpréter l'écart type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80</m:t>
        </m:r>
      </m:oMath>
      <w:r>
        <w:t xml:space="preserve"> </w:t>
      </w:r>
      <w:r>
        <w:t xml:space="preserve">€. Les gains s'écartent en moyenne d'environ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80</m:t>
        </m:r>
      </m:oMath>
      <w:r>
        <w:t xml:space="preserve"> </w:t>
      </w:r>
      <w:r>
        <w:t xml:space="preserve">€ de leur espérance. »</w:t>
      </w:r>
    </w:p>
    <w:p>
      <w:pPr>
        <w:pStyle w:val="BodyText"/>
      </w:pPr>
      <w:r>
        <w:rPr>
          <w:bCs/>
          <w:b/>
        </w:rPr>
        <w:t xml:space="preserve">Situation 11 : trouver une loi avec paramètres</w:t>
      </w:r>
    </w:p>
    <w:p>
      <w:pPr>
        <w:pStyle w:val="BodyText"/>
      </w:pPr>
      <w:r>
        <w:t xml:space="preserve">« La somme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 L'espérance vaut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 On soustrait :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 puis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Vérification : la somme des probabilités vaut bien</w:t>
      </w:r>
      <w:r>
        <w:t xml:space="preserve"> </w:t>
      </w:r>
      <m:oMath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comparer deux dispersions</w:t>
      </w:r>
    </w:p>
    <w:p>
      <w:pPr>
        <w:pStyle w:val="BodyText"/>
      </w:pPr>
      <w:r>
        <w:t xml:space="preserve">« Les deux jeux ont la même espérance,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€. Comme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54</m:t>
        </m:r>
        <m:r>
          <m:rPr>
            <m:sty m:val="p"/>
          </m:rPr>
          <m:t>&lt;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=</m:t>
        </m:r>
        <m:r>
          <m:t>10</m:t>
        </m:r>
      </m:oMath>
      <w:r>
        <w:t xml:space="preserve">, les gains du jeu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moins dispersés : le jeu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moins risqué. »</w:t>
      </w:r>
    </w:p>
    <w:p>
      <w:pPr>
        <w:pStyle w:val="BodyText"/>
      </w:pPr>
      <w:r>
        <w:rPr>
          <w:bCs/>
          <w:b/>
        </w:rPr>
        <w:t xml:space="preserve">Situation 13 : rédiger la démonstration de König-Huygens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r>
          <m:t>2</m:t>
        </m:r>
        <m:r>
          <m:t>μ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. Or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2</m:t>
        </m:r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sSup>
          <m:e>
            <m:r>
              <m:t>μ</m:t>
            </m:r>
          </m:e>
          <m:sup>
            <m:r>
              <m:t>2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La démonstration de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se rédige de même :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+</m:t>
            </m:r>
            <m:r>
              <m:t>b</m:t>
            </m:r>
          </m:e>
        </m:d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a</m:t>
        </m:r>
        <m:r>
          <m:rPr>
            <m:sty m:val="p"/>
          </m:rPr>
          <m:t>∑</m:t>
        </m:r>
        <m:sSub>
          <m:e>
            <m:r>
              <m:t>x</m:t>
            </m:r>
          </m:e>
          <m:sub>
            <m:r>
              <m:t>i</m:t>
            </m:r>
          </m:sub>
        </m:sSub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r>
          <m:t>b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14 : écrire et commenter une simulation</w:t>
      </w:r>
    </w:p>
    <w:p>
      <w:pPr>
        <w:pStyle w:val="BodyText"/>
      </w:pPr>
      <w:r>
        <w:t xml:space="preserve">«</w:t>
      </w:r>
      <w:r>
        <w:t xml:space="preserve"> </w:t>
      </w:r>
      <w:r>
        <w:rPr>
          <w:rStyle w:val="VerbatimChar"/>
        </w:rPr>
        <w:t xml:space="preserve">moyenne(n)</w:t>
      </w:r>
      <w:r>
        <w:t xml:space="preserve"> </w:t>
      </w:r>
      <w:r>
        <w:t xml:space="preserve">simule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gains et renvoie leur moyenne</w:t>
      </w:r>
      <w:r>
        <w:t xml:space="preserve"> </w:t>
      </w:r>
      <m:oMath>
        <m:r>
          <m:t>m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, on a obtenu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: l'écart 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 Lors de plusieurs exécutions,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varie ; on observe qu'elle est en général plus proche de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augmente. »</w:t>
      </w:r>
    </w:p>
    <w:p>
      <w:pPr>
        <w:pStyle w:val="BodyText"/>
      </w:pPr>
      <w:r>
        <w:t xml:space="preserve">Parle d'</w:t>
      </w:r>
      <w:r>
        <w:rPr>
          <w:bCs/>
          <w:b/>
        </w:rPr>
        <w:t xml:space="preserve">observation</w:t>
      </w:r>
      <w:r>
        <w:t xml:space="preserve">, jamais de preuve.</w:t>
      </w:r>
    </w:p>
    <w:bookmarkEnd w:id="20"/>
    <w:bookmarkStart w:id="21" w:name="les-erreurs-qui-coûtent-des-points"/>
    <w:p>
      <w:pPr>
        <w:pStyle w:val="Heading3"/>
      </w:pPr>
      <w:r>
        <w:t xml:space="preserve">2. Les erreurs qui coûtent des points</w:t>
      </w:r>
    </w:p>
    <w:p>
      <w:pPr>
        <w:numPr>
          <w:ilvl w:val="0"/>
          <w:numId w:val="1002"/>
        </w:numPr>
        <w:pStyle w:val="Compact"/>
      </w:pPr>
      <w:r>
        <w:t xml:space="preserve">Oublier une valeur possible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Ne pas vérifier que la somme des probabilités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 mettre au carré dans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 ou écrire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Donner la variance quand on demande l'écart type.</w:t>
      </w:r>
    </w:p>
    <w:p>
      <w:pPr>
        <w:numPr>
          <w:ilvl w:val="0"/>
          <w:numId w:val="1002"/>
        </w:numPr>
        <w:pStyle w:val="Compact"/>
      </w:pPr>
      <w:r>
        <w:t xml:space="preserve">Oublier le signe d'une perte dans un jeu.</w:t>
      </w:r>
    </w:p>
    <w:p>
      <w:pPr>
        <w:numPr>
          <w:ilvl w:val="0"/>
          <w:numId w:val="1002"/>
        </w:numPr>
        <w:pStyle w:val="Compact"/>
      </w:pPr>
      <w:r>
        <w:t xml:space="preserve">Ne pas interpréter l'espérance.</w:t>
      </w:r>
    </w:p>
    <w:p>
      <w:pPr>
        <w:pStyle w:val="FirstParagraph"/>
      </w:pPr>
      <w:r>
        <w:rPr>
          <w:bCs/>
          <w:b/>
        </w:rPr>
        <w:t xml:space="preserve">Check-list avant de rendre la copie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défini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 </w:t>
      </w:r>
      <w:r>
        <w:t xml:space="preserve">avec son unité et ses valeurs.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que la somme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cité</w:t>
      </w:r>
      <w:r>
        <w:t xml:space="preserve"> </w:t>
      </w:r>
      <w:r>
        <w:t xml:space="preserve">la formule utilisée.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interprété</w:t>
      </w:r>
      <w:r>
        <w:t xml:space="preserve"> </w:t>
      </w:r>
      <w:r>
        <w:t xml:space="preserve">le résultat avec l'unité.</w:t>
      </w:r>
    </w:p>
    <w:p>
      <w:pPr>
        <w:numPr>
          <w:ilvl w:val="0"/>
          <w:numId w:val="1003"/>
        </w:numPr>
        <w:pStyle w:val="Compact"/>
      </w:pPr>
      <w:r>
        <w:t xml:space="preserve">Pour une simulation, j'ai parlé d'</w:t>
      </w:r>
      <w:r>
        <w:rPr>
          <w:bCs/>
          <w:b/>
        </w:rPr>
        <w:t xml:space="preserve">observation</w:t>
      </w:r>
      <w:r>
        <w:t xml:space="preserve"> </w:t>
      </w:r>
      <w:r>
        <w:t xml:space="preserve">et non de preuve.</w:t>
      </w:r>
    </w:p>
    <w:p>
      <w:pPr>
        <w:pStyle w:val="FirstParagraph"/>
      </w:pPr>
      <w:r>
        <w:t xml:space="preserve">Un correcteur qui voit «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» avec la formule citée et la phrase d'interprétation sourit. Sans la phrase, il se demande si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est un prix, un âge ou une température.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variables aléatoires</dc:title>
  <dc:creator>Antoine Boutin, plusquunprof.com</dc:creator>
  <dc:language>fr</dc:language>
  <cp:keywords/>
  <dcterms:created xsi:type="dcterms:W3CDTF">2026-10-10T06:55:12Z</dcterms:created>
  <dcterms:modified xsi:type="dcterms:W3CDTF">2026-10-10T06:55:12Z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